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78864" w14:textId="01C75943" w:rsidR="00C93020" w:rsidRPr="00C93020" w:rsidRDefault="00C93020" w:rsidP="00003693">
      <w:pPr>
        <w:jc w:val="center"/>
        <w:rPr>
          <w:rFonts w:ascii="Times New Roman" w:hAnsi="Times New Roman"/>
          <w:b/>
          <w:sz w:val="32"/>
          <w:szCs w:val="32"/>
        </w:rPr>
      </w:pPr>
      <w:r w:rsidRPr="00C93020">
        <w:rPr>
          <w:rFonts w:ascii="Times New Roman" w:hAnsi="Times New Roman"/>
          <w:b/>
          <w:sz w:val="32"/>
          <w:szCs w:val="32"/>
        </w:rPr>
        <w:t>National Taipei Univ</w:t>
      </w:r>
      <w:r w:rsidR="00D73C09">
        <w:rPr>
          <w:rFonts w:ascii="Times New Roman" w:hAnsi="Times New Roman"/>
          <w:b/>
          <w:sz w:val="32"/>
          <w:szCs w:val="32"/>
        </w:rPr>
        <w:t>e</w:t>
      </w:r>
      <w:r w:rsidRPr="00C93020">
        <w:rPr>
          <w:rFonts w:ascii="Times New Roman" w:hAnsi="Times New Roman"/>
          <w:b/>
          <w:sz w:val="32"/>
          <w:szCs w:val="32"/>
        </w:rPr>
        <w:t>rsity</w:t>
      </w:r>
      <w:r w:rsidR="00695364">
        <w:rPr>
          <w:rFonts w:ascii="Times New Roman" w:hAnsi="Times New Roman"/>
          <w:b/>
          <w:sz w:val="32"/>
          <w:szCs w:val="32"/>
        </w:rPr>
        <w:t xml:space="preserve"> - </w:t>
      </w:r>
      <w:r w:rsidRPr="00C93020">
        <w:rPr>
          <w:rFonts w:ascii="Times New Roman" w:hAnsi="Times New Roman"/>
          <w:b/>
          <w:sz w:val="32"/>
          <w:szCs w:val="32"/>
        </w:rPr>
        <w:t>Department of Accounting</w:t>
      </w:r>
    </w:p>
    <w:p w14:paraId="3DB11F85" w14:textId="26E9FDF6" w:rsidR="00003693" w:rsidRPr="00C93020" w:rsidRDefault="00003693" w:rsidP="00003693">
      <w:pPr>
        <w:jc w:val="center"/>
        <w:rPr>
          <w:rFonts w:ascii="Times New Roman" w:hAnsi="Times New Roman"/>
          <w:b/>
          <w:sz w:val="24"/>
        </w:rPr>
      </w:pPr>
      <w:r w:rsidRPr="00C93020">
        <w:rPr>
          <w:rFonts w:ascii="Times New Roman" w:hAnsi="Times New Roman"/>
          <w:b/>
          <w:sz w:val="24"/>
        </w:rPr>
        <w:t>Management Accounting Research</w:t>
      </w:r>
      <w:r w:rsidR="006614E2" w:rsidRPr="00C93020">
        <w:rPr>
          <w:rFonts w:ascii="Times New Roman" w:hAnsi="Times New Roman"/>
          <w:b/>
          <w:sz w:val="24"/>
        </w:rPr>
        <w:t xml:space="preserve"> Seminar</w:t>
      </w:r>
      <w:r w:rsidR="00C815C7" w:rsidRPr="00C93020">
        <w:rPr>
          <w:rFonts w:ascii="Times New Roman" w:hAnsi="Times New Roman"/>
          <w:b/>
          <w:sz w:val="24"/>
        </w:rPr>
        <w:t xml:space="preserve"> – Fall 20</w:t>
      </w:r>
      <w:r w:rsidR="00160DF4">
        <w:rPr>
          <w:rFonts w:ascii="Times New Roman" w:hAnsi="Times New Roman"/>
          <w:b/>
          <w:sz w:val="24"/>
        </w:rPr>
        <w:t>20</w:t>
      </w:r>
    </w:p>
    <w:p w14:paraId="4F12F653" w14:textId="28D890D6" w:rsidR="00F55DE1" w:rsidRPr="00A17C5B" w:rsidRDefault="00F55DE1" w:rsidP="00B518C4">
      <w:pPr>
        <w:rPr>
          <w:rFonts w:ascii="Times New Roman" w:hAnsi="Times New Roman"/>
          <w:b/>
          <w:bCs/>
          <w:sz w:val="22"/>
          <w:szCs w:val="22"/>
          <w:lang w:eastAsia="zh-TW"/>
        </w:rPr>
      </w:pPr>
    </w:p>
    <w:p w14:paraId="2C37CD0B" w14:textId="0191517F" w:rsidR="00580171" w:rsidRPr="00A17C5B" w:rsidRDefault="00580171" w:rsidP="00580171">
      <w:pPr>
        <w:rPr>
          <w:rFonts w:ascii="Times New Roman" w:hAnsi="Times New Roman"/>
          <w:sz w:val="22"/>
          <w:szCs w:val="22"/>
        </w:rPr>
      </w:pPr>
      <w:r w:rsidRPr="00A17C5B">
        <w:rPr>
          <w:rFonts w:ascii="Times New Roman" w:hAnsi="Times New Roman"/>
          <w:sz w:val="22"/>
          <w:szCs w:val="22"/>
        </w:rPr>
        <w:t xml:space="preserve">Except for the first session, the remaining sessions will have a seminar format combining student-lead presentations and discussions, broader class discussions and some lectures. Due to the complexity of the material being presented, </w:t>
      </w:r>
      <w:r w:rsidRPr="00A17C5B">
        <w:rPr>
          <w:rFonts w:ascii="Times New Roman" w:hAnsi="Times New Roman"/>
          <w:sz w:val="22"/>
          <w:szCs w:val="22"/>
          <w:u w:val="single"/>
        </w:rPr>
        <w:t>classroom attendance will be an essential</w:t>
      </w:r>
      <w:r w:rsidRPr="00A17C5B">
        <w:rPr>
          <w:rFonts w:ascii="Times New Roman" w:hAnsi="Times New Roman"/>
          <w:sz w:val="22"/>
          <w:szCs w:val="22"/>
        </w:rPr>
        <w:t xml:space="preserve"> and students’ involvement in classroom discussions is expected.</w:t>
      </w:r>
    </w:p>
    <w:p w14:paraId="73C1EFB1" w14:textId="32DF81EB" w:rsidR="00580171" w:rsidRPr="00A17C5B" w:rsidRDefault="00580171" w:rsidP="00A740CD">
      <w:pPr>
        <w:pStyle w:val="a4"/>
        <w:rPr>
          <w:sz w:val="22"/>
          <w:szCs w:val="22"/>
        </w:rPr>
      </w:pPr>
      <w:r w:rsidRPr="00A17C5B">
        <w:rPr>
          <w:sz w:val="22"/>
          <w:szCs w:val="22"/>
          <w:lang w:eastAsia="zh-TW"/>
        </w:rPr>
        <w:t>1</w:t>
      </w:r>
      <w:r w:rsidR="00346D95">
        <w:rPr>
          <w:sz w:val="22"/>
          <w:szCs w:val="22"/>
          <w:lang w:eastAsia="zh-TW"/>
        </w:rPr>
        <w:t>1</w:t>
      </w:r>
      <w:r w:rsidRPr="00A17C5B">
        <w:rPr>
          <w:sz w:val="22"/>
          <w:szCs w:val="22"/>
          <w:lang w:eastAsia="zh-TW"/>
        </w:rPr>
        <w:t xml:space="preserve"> papers have been assigned for discussion in class </w:t>
      </w:r>
      <w:r w:rsidR="00A740CD">
        <w:rPr>
          <w:sz w:val="22"/>
          <w:szCs w:val="22"/>
          <w:lang w:eastAsia="zh-TW"/>
        </w:rPr>
        <w:t>starting</w:t>
      </w:r>
      <w:r w:rsidRPr="00A17C5B">
        <w:rPr>
          <w:sz w:val="22"/>
          <w:szCs w:val="22"/>
          <w:lang w:eastAsia="zh-TW"/>
        </w:rPr>
        <w:t xml:space="preserve"> </w:t>
      </w:r>
      <w:r w:rsidR="00A740CD">
        <w:rPr>
          <w:sz w:val="22"/>
          <w:szCs w:val="22"/>
          <w:lang w:eastAsia="zh-TW"/>
        </w:rPr>
        <w:t xml:space="preserve">from </w:t>
      </w:r>
      <w:r w:rsidR="00347157">
        <w:rPr>
          <w:sz w:val="22"/>
          <w:szCs w:val="22"/>
          <w:lang w:eastAsia="zh-TW"/>
        </w:rPr>
        <w:t>Session 2</w:t>
      </w:r>
      <w:r w:rsidRPr="00A17C5B">
        <w:rPr>
          <w:sz w:val="22"/>
          <w:szCs w:val="22"/>
          <w:lang w:eastAsia="zh-TW"/>
        </w:rPr>
        <w:t xml:space="preserve">. Each </w:t>
      </w:r>
      <w:r w:rsidRPr="00A17C5B">
        <w:rPr>
          <w:sz w:val="22"/>
          <w:szCs w:val="22"/>
        </w:rPr>
        <w:t xml:space="preserve">team consisting of 2 to </w:t>
      </w:r>
      <w:r w:rsidR="00A17C5B">
        <w:rPr>
          <w:sz w:val="22"/>
          <w:szCs w:val="22"/>
        </w:rPr>
        <w:t>4</w:t>
      </w:r>
      <w:r w:rsidRPr="00A17C5B">
        <w:rPr>
          <w:sz w:val="22"/>
          <w:szCs w:val="22"/>
        </w:rPr>
        <w:t xml:space="preserve"> students will </w:t>
      </w:r>
      <w:r w:rsidR="00DE013F" w:rsidRPr="00A17C5B">
        <w:rPr>
          <w:sz w:val="22"/>
          <w:szCs w:val="22"/>
        </w:rPr>
        <w:t xml:space="preserve">be </w:t>
      </w:r>
      <w:r w:rsidRPr="00A17C5B">
        <w:rPr>
          <w:sz w:val="22"/>
          <w:szCs w:val="22"/>
        </w:rPr>
        <w:t>rotat</w:t>
      </w:r>
      <w:r w:rsidR="00AC534A">
        <w:rPr>
          <w:sz w:val="22"/>
          <w:szCs w:val="22"/>
        </w:rPr>
        <w:t>ing</w:t>
      </w:r>
      <w:r w:rsidRPr="00A17C5B">
        <w:rPr>
          <w:sz w:val="22"/>
          <w:szCs w:val="22"/>
        </w:rPr>
        <w:t xml:space="preserve"> to serve as “authors and discussants” on one paper for certain sessions. </w:t>
      </w:r>
      <w:r w:rsidR="00DE013F" w:rsidRPr="00A17C5B">
        <w:rPr>
          <w:sz w:val="22"/>
          <w:szCs w:val="22"/>
        </w:rPr>
        <w:t>Presentation</w:t>
      </w:r>
      <w:r w:rsidRPr="00A17C5B">
        <w:rPr>
          <w:sz w:val="22"/>
          <w:szCs w:val="22"/>
        </w:rPr>
        <w:t xml:space="preserve"> of the paper</w:t>
      </w:r>
      <w:r w:rsidR="00DE013F" w:rsidRPr="00A17C5B">
        <w:rPr>
          <w:sz w:val="22"/>
          <w:szCs w:val="22"/>
        </w:rPr>
        <w:t xml:space="preserve"> should</w:t>
      </w:r>
      <w:r w:rsidRPr="00A17C5B">
        <w:rPr>
          <w:sz w:val="22"/>
          <w:szCs w:val="22"/>
        </w:rPr>
        <w:t xml:space="preserve"> focus on the following:</w:t>
      </w:r>
    </w:p>
    <w:p w14:paraId="72154B30" w14:textId="77777777" w:rsidR="00580171" w:rsidRPr="00A17C5B" w:rsidRDefault="00580171" w:rsidP="007C5F7D">
      <w:pPr>
        <w:pStyle w:val="a4"/>
        <w:numPr>
          <w:ilvl w:val="0"/>
          <w:numId w:val="1"/>
        </w:numPr>
        <w:rPr>
          <w:sz w:val="22"/>
          <w:szCs w:val="22"/>
          <w:lang w:eastAsia="zh-TW"/>
        </w:rPr>
      </w:pPr>
      <w:r w:rsidRPr="00A17C5B">
        <w:rPr>
          <w:sz w:val="22"/>
          <w:szCs w:val="22"/>
          <w:lang w:eastAsia="zh-TW"/>
        </w:rPr>
        <w:t xml:space="preserve">What is the </w:t>
      </w:r>
      <w:r w:rsidRPr="00A17C5B">
        <w:rPr>
          <w:sz w:val="22"/>
          <w:szCs w:val="22"/>
        </w:rPr>
        <w:t xml:space="preserve">research question and </w:t>
      </w:r>
      <w:r w:rsidRPr="00A17C5B">
        <w:rPr>
          <w:sz w:val="22"/>
          <w:szCs w:val="22"/>
          <w:lang w:eastAsia="zh-TW"/>
        </w:rPr>
        <w:t>what are th</w:t>
      </w:r>
      <w:r w:rsidRPr="00A17C5B">
        <w:rPr>
          <w:sz w:val="22"/>
          <w:szCs w:val="22"/>
        </w:rPr>
        <w:t xml:space="preserve">e arguments used to </w:t>
      </w:r>
      <w:r w:rsidRPr="00A17C5B">
        <w:rPr>
          <w:sz w:val="22"/>
          <w:szCs w:val="22"/>
          <w:lang w:eastAsia="zh-TW"/>
        </w:rPr>
        <w:t>motivate</w:t>
      </w:r>
      <w:r w:rsidRPr="00A17C5B">
        <w:rPr>
          <w:sz w:val="22"/>
          <w:szCs w:val="22"/>
        </w:rPr>
        <w:t xml:space="preserve"> it</w:t>
      </w:r>
      <w:r w:rsidRPr="00A17C5B">
        <w:rPr>
          <w:sz w:val="22"/>
          <w:szCs w:val="22"/>
          <w:lang w:eastAsia="zh-TW"/>
        </w:rPr>
        <w:t>?</w:t>
      </w:r>
    </w:p>
    <w:p w14:paraId="35F2743D" w14:textId="77777777" w:rsidR="00580171" w:rsidRPr="00A17C5B" w:rsidRDefault="00580171" w:rsidP="007C5F7D">
      <w:pPr>
        <w:pStyle w:val="a4"/>
        <w:numPr>
          <w:ilvl w:val="0"/>
          <w:numId w:val="1"/>
        </w:numPr>
        <w:rPr>
          <w:sz w:val="22"/>
          <w:szCs w:val="22"/>
        </w:rPr>
      </w:pPr>
      <w:r w:rsidRPr="00A17C5B">
        <w:rPr>
          <w:sz w:val="22"/>
          <w:szCs w:val="22"/>
        </w:rPr>
        <w:t>What are the testable hypotheses being developed?</w:t>
      </w:r>
    </w:p>
    <w:p w14:paraId="31620F1E" w14:textId="57E9C43E" w:rsidR="00580171" w:rsidRPr="00A17C5B" w:rsidRDefault="00580171" w:rsidP="007C5F7D">
      <w:pPr>
        <w:pStyle w:val="a4"/>
        <w:numPr>
          <w:ilvl w:val="0"/>
          <w:numId w:val="1"/>
        </w:numPr>
        <w:rPr>
          <w:sz w:val="22"/>
          <w:szCs w:val="22"/>
        </w:rPr>
      </w:pPr>
      <w:r w:rsidRPr="00A17C5B">
        <w:rPr>
          <w:sz w:val="22"/>
          <w:szCs w:val="22"/>
        </w:rPr>
        <w:t>What methodology is used to answer the research question? Are there alternative approaches that might be used?</w:t>
      </w:r>
    </w:p>
    <w:p w14:paraId="19EACC44" w14:textId="77777777" w:rsidR="00580171" w:rsidRPr="00A17C5B" w:rsidRDefault="00580171" w:rsidP="007C5F7D">
      <w:pPr>
        <w:pStyle w:val="a4"/>
        <w:numPr>
          <w:ilvl w:val="0"/>
          <w:numId w:val="1"/>
        </w:numPr>
        <w:rPr>
          <w:sz w:val="22"/>
          <w:szCs w:val="22"/>
        </w:rPr>
      </w:pPr>
      <w:r w:rsidRPr="00A17C5B">
        <w:rPr>
          <w:sz w:val="22"/>
          <w:szCs w:val="22"/>
        </w:rPr>
        <w:t xml:space="preserve">What are the paper’s major results and contributions? </w:t>
      </w:r>
    </w:p>
    <w:p w14:paraId="5FAB026D" w14:textId="2FDE0F3A" w:rsidR="00580171" w:rsidRPr="00A17C5B" w:rsidRDefault="00580171" w:rsidP="007C5F7D">
      <w:pPr>
        <w:pStyle w:val="a4"/>
        <w:numPr>
          <w:ilvl w:val="0"/>
          <w:numId w:val="1"/>
        </w:numPr>
        <w:rPr>
          <w:sz w:val="22"/>
          <w:szCs w:val="22"/>
        </w:rPr>
      </w:pPr>
      <w:r w:rsidRPr="00A17C5B">
        <w:rPr>
          <w:sz w:val="22"/>
          <w:szCs w:val="22"/>
        </w:rPr>
        <w:t xml:space="preserve">What are suggestions for improvements, extensions or future research? </w:t>
      </w:r>
    </w:p>
    <w:p w14:paraId="58428F7A" w14:textId="5F5D0F57" w:rsidR="00A17C5B" w:rsidRPr="00A17C5B" w:rsidRDefault="00A17C5B" w:rsidP="00A740CD">
      <w:pPr>
        <w:pStyle w:val="a4"/>
        <w:rPr>
          <w:sz w:val="22"/>
          <w:szCs w:val="22"/>
        </w:rPr>
      </w:pPr>
      <w:r w:rsidRPr="00A17C5B">
        <w:rPr>
          <w:sz w:val="22"/>
          <w:szCs w:val="22"/>
        </w:rPr>
        <w:t>Each non-present</w:t>
      </w:r>
      <w:r w:rsidR="00A740CD">
        <w:rPr>
          <w:sz w:val="22"/>
          <w:szCs w:val="22"/>
        </w:rPr>
        <w:t>ation team</w:t>
      </w:r>
      <w:r w:rsidRPr="00A17C5B">
        <w:rPr>
          <w:sz w:val="22"/>
          <w:szCs w:val="22"/>
        </w:rPr>
        <w:t xml:space="preserve"> must submit a summary of at least two shortcomings or unresolved research issues in each paper. This summary should be sent to the presenter via email no later than </w:t>
      </w:r>
      <w:r>
        <w:rPr>
          <w:sz w:val="22"/>
          <w:szCs w:val="22"/>
        </w:rPr>
        <w:t>24</w:t>
      </w:r>
      <w:r w:rsidRPr="00A17C5B">
        <w:rPr>
          <w:sz w:val="22"/>
          <w:szCs w:val="22"/>
        </w:rPr>
        <w:t xml:space="preserve"> hours prior to </w:t>
      </w:r>
      <w:r w:rsidR="00AC534A">
        <w:rPr>
          <w:sz w:val="22"/>
          <w:szCs w:val="22"/>
        </w:rPr>
        <w:t>presentation</w:t>
      </w:r>
      <w:r w:rsidRPr="00A17C5B">
        <w:rPr>
          <w:sz w:val="22"/>
          <w:szCs w:val="22"/>
        </w:rPr>
        <w:t>. The presenter should explain how these questions can be improved or extended during the presentation.</w:t>
      </w:r>
    </w:p>
    <w:tbl>
      <w:tblPr>
        <w:tblStyle w:val="ad"/>
        <w:tblW w:w="10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0"/>
        <w:gridCol w:w="1350"/>
        <w:gridCol w:w="8010"/>
      </w:tblGrid>
      <w:tr w:rsidR="0025476B" w:rsidRPr="00A740CD" w14:paraId="2C52010C" w14:textId="77777777" w:rsidTr="00A27EDB">
        <w:tc>
          <w:tcPr>
            <w:tcW w:w="990" w:type="dxa"/>
          </w:tcPr>
          <w:p w14:paraId="5565D9AD" w14:textId="77777777" w:rsidR="0025476B" w:rsidRPr="00A740CD" w:rsidRDefault="0025476B" w:rsidP="006F33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740CD">
              <w:rPr>
                <w:rFonts w:ascii="Times New Roman" w:hAnsi="Times New Roman"/>
                <w:b/>
                <w:sz w:val="20"/>
                <w:szCs w:val="20"/>
              </w:rPr>
              <w:t>Sessions</w:t>
            </w:r>
          </w:p>
        </w:tc>
        <w:tc>
          <w:tcPr>
            <w:tcW w:w="1350" w:type="dxa"/>
          </w:tcPr>
          <w:p w14:paraId="3F5C9B03" w14:textId="77777777" w:rsidR="0025476B" w:rsidRPr="00A740CD" w:rsidRDefault="0025476B" w:rsidP="006F33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740CD">
              <w:rPr>
                <w:rFonts w:ascii="Times New Roman" w:hAnsi="Times New Roman"/>
                <w:b/>
                <w:sz w:val="20"/>
                <w:szCs w:val="20"/>
              </w:rPr>
              <w:t>Dates</w:t>
            </w:r>
          </w:p>
        </w:tc>
        <w:tc>
          <w:tcPr>
            <w:tcW w:w="8010" w:type="dxa"/>
          </w:tcPr>
          <w:p w14:paraId="5EB3A1C6" w14:textId="77777777" w:rsidR="0025476B" w:rsidRPr="00A740CD" w:rsidRDefault="0056310C" w:rsidP="0056310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40CD">
              <w:rPr>
                <w:rFonts w:ascii="Times New Roman" w:hAnsi="Times New Roman"/>
                <w:b/>
                <w:sz w:val="20"/>
                <w:szCs w:val="20"/>
              </w:rPr>
              <w:t xml:space="preserve">Topics &amp; </w:t>
            </w:r>
            <w:r w:rsidR="0025476B" w:rsidRPr="00A740CD">
              <w:rPr>
                <w:rFonts w:ascii="Times New Roman" w:hAnsi="Times New Roman"/>
                <w:b/>
                <w:sz w:val="20"/>
                <w:szCs w:val="20"/>
              </w:rPr>
              <w:t>Assignments</w:t>
            </w:r>
          </w:p>
        </w:tc>
      </w:tr>
      <w:tr w:rsidR="0025476B" w:rsidRPr="00A740CD" w14:paraId="5A4927E1" w14:textId="77777777" w:rsidTr="00A27EDB">
        <w:tc>
          <w:tcPr>
            <w:tcW w:w="990" w:type="dxa"/>
          </w:tcPr>
          <w:p w14:paraId="60FEF436" w14:textId="77777777" w:rsidR="0025476B" w:rsidRPr="00A740CD" w:rsidRDefault="0025476B" w:rsidP="00E13EAD">
            <w:pPr>
              <w:rPr>
                <w:rFonts w:ascii="Times New Roman" w:hAnsi="Times New Roman"/>
                <w:sz w:val="20"/>
                <w:szCs w:val="20"/>
              </w:rPr>
            </w:pPr>
            <w:r w:rsidRPr="00A740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0" w:type="dxa"/>
          </w:tcPr>
          <w:p w14:paraId="2951F9A4" w14:textId="0047D800" w:rsidR="00160DF4" w:rsidRPr="00A740CD" w:rsidRDefault="00160DF4" w:rsidP="00160DF4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November </w:t>
            </w:r>
            <w:r w:rsidR="00BB5244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7E74FCC8" w14:textId="0EC9BFF3" w:rsidR="00BE4F41" w:rsidRPr="00A740CD" w:rsidRDefault="00BB5244" w:rsidP="003301D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Thursday</w:t>
            </w:r>
          </w:p>
          <w:p w14:paraId="69127B0A" w14:textId="77777777" w:rsidR="0025476B" w:rsidRPr="00A740CD" w:rsidRDefault="0025476B" w:rsidP="003301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0" w:type="dxa"/>
          </w:tcPr>
          <w:p w14:paraId="7420AA68" w14:textId="77777777" w:rsidR="00693AB6" w:rsidRPr="00C815C7" w:rsidRDefault="00693AB6" w:rsidP="00C815C7">
            <w:pPr>
              <w:pStyle w:val="af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15C7">
              <w:rPr>
                <w:rFonts w:ascii="Times New Roman" w:hAnsi="Times New Roman"/>
                <w:sz w:val="22"/>
                <w:szCs w:val="22"/>
              </w:rPr>
              <w:t>Introduction, Administration, and Background of Accounting Research</w:t>
            </w:r>
          </w:p>
          <w:p w14:paraId="753539A7" w14:textId="77777777" w:rsidR="00C815C7" w:rsidRDefault="00693AB6" w:rsidP="00C815C7">
            <w:pPr>
              <w:pStyle w:val="af"/>
              <w:numPr>
                <w:ilvl w:val="0"/>
                <w:numId w:val="15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15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Review </w:t>
            </w:r>
            <w:r w:rsidR="00117110" w:rsidRPr="00C815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</w:t>
            </w:r>
            <w:r w:rsidRPr="00C815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ourse </w:t>
            </w:r>
            <w:r w:rsidR="00117110" w:rsidRPr="00C815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</w:t>
            </w:r>
            <w:r w:rsidRPr="00C815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yllabus</w:t>
            </w:r>
          </w:p>
          <w:p w14:paraId="2119150C" w14:textId="64A3A671" w:rsidR="004739FC" w:rsidRPr="00C815C7" w:rsidRDefault="00693AB6" w:rsidP="00C815C7">
            <w:pPr>
              <w:pStyle w:val="af"/>
              <w:numPr>
                <w:ilvl w:val="0"/>
                <w:numId w:val="15"/>
              </w:num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815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Research </w:t>
            </w:r>
            <w:r w:rsidR="00117110" w:rsidRPr="00C815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</w:t>
            </w:r>
            <w:r w:rsidRPr="00C815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esign </w:t>
            </w:r>
            <w:r w:rsidR="00117110" w:rsidRPr="00C815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</w:t>
            </w:r>
            <w:r w:rsidRPr="00C815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onsiderations &amp; </w:t>
            </w:r>
            <w:r w:rsidR="00117110" w:rsidRPr="00C815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</w:t>
            </w:r>
            <w:r w:rsidRPr="00C815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oncepts.</w:t>
            </w:r>
            <w:r w:rsidR="00014199" w:rsidRPr="00C815C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Power point slides.</w:t>
            </w:r>
          </w:p>
        </w:tc>
      </w:tr>
      <w:tr w:rsidR="00B31E82" w:rsidRPr="00A740CD" w14:paraId="09B981DC" w14:textId="77777777" w:rsidTr="00A27EDB">
        <w:tc>
          <w:tcPr>
            <w:tcW w:w="990" w:type="dxa"/>
          </w:tcPr>
          <w:p w14:paraId="438BB742" w14:textId="3515E172" w:rsidR="00B31E82" w:rsidRPr="00A740CD" w:rsidRDefault="00B31E82" w:rsidP="00B31E82">
            <w:pPr>
              <w:rPr>
                <w:rFonts w:ascii="Times New Roman" w:hAnsi="Times New Roman"/>
                <w:sz w:val="20"/>
                <w:szCs w:val="20"/>
              </w:rPr>
            </w:pPr>
            <w:r w:rsidRPr="00A740C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0" w:type="dxa"/>
          </w:tcPr>
          <w:p w14:paraId="48F05361" w14:textId="3A1B00E0" w:rsidR="00160DF4" w:rsidRDefault="00160DF4" w:rsidP="00160DF4">
            <w:pPr>
              <w:rPr>
                <w:rFonts w:ascii="Times New Roman" w:hAnsi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November 1</w:t>
            </w:r>
            <w:r w:rsidR="00BB5244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09A982D8" w14:textId="71258F1E" w:rsidR="00BE4F41" w:rsidRPr="00A740CD" w:rsidRDefault="00BE4F41" w:rsidP="00BE4F4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70D4C18" w14:textId="77777777" w:rsidR="00B31E82" w:rsidRPr="00A740CD" w:rsidRDefault="00B31E82" w:rsidP="00B31E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0" w:type="dxa"/>
          </w:tcPr>
          <w:p w14:paraId="6C0B2497" w14:textId="72921A34" w:rsidR="00693AB6" w:rsidRPr="00C815C7" w:rsidRDefault="0093562E" w:rsidP="00C815C7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Asymmetric </w:t>
            </w:r>
            <w:r w:rsidR="00693AB6" w:rsidRPr="00C815C7">
              <w:rPr>
                <w:rFonts w:ascii="Times New Roman" w:hAnsi="Times New Roman"/>
                <w:sz w:val="22"/>
                <w:szCs w:val="22"/>
              </w:rPr>
              <w:t>Cost Behavior</w:t>
            </w:r>
          </w:p>
          <w:p w14:paraId="33E29C0D" w14:textId="0D0E0CD8" w:rsidR="00421A6F" w:rsidRPr="00421A6F" w:rsidRDefault="00421A6F" w:rsidP="00962215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/>
                <w:sz w:val="22"/>
                <w:szCs w:val="22"/>
              </w:rPr>
            </w:pPr>
            <w:r w:rsidRPr="0093562E">
              <w:rPr>
                <w:rFonts w:ascii="Times New Roman" w:eastAsiaTheme="minorEastAsia" w:hAnsi="Times New Roman"/>
                <w:bCs/>
                <w:sz w:val="22"/>
                <w:szCs w:val="22"/>
                <w:lang w:eastAsia="zh-CN"/>
              </w:rPr>
              <w:t xml:space="preserve">Chiang and Lee. </w:t>
            </w:r>
            <w:r w:rsidRPr="0093562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2020. Does D&amp;O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Pr="0093562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nsurance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</w:t>
            </w:r>
            <w:r w:rsidRPr="0093562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itigate SG&amp;A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  <w:r w:rsidRPr="0093562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ost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</w:t>
            </w:r>
            <w:r w:rsidRPr="0093562E">
              <w:rPr>
                <w:rFonts w:ascii="Times New Roman" w:hAnsi="Times New Roman"/>
                <w:color w:val="000000"/>
                <w:sz w:val="22"/>
                <w:szCs w:val="22"/>
              </w:rPr>
              <w:t>tickiness?</w:t>
            </w:r>
            <w:r w:rsidR="00246BC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Working Paper.</w:t>
            </w:r>
          </w:p>
          <w:p w14:paraId="4F2D5D4C" w14:textId="64D9A876" w:rsidR="00C815C7" w:rsidRPr="00C815C7" w:rsidRDefault="00160DF4" w:rsidP="00962215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Chang et al. </w:t>
            </w:r>
            <w:r w:rsidR="00346D95" w:rsidRPr="00C815C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20</w:t>
            </w: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20</w:t>
            </w:r>
            <w:r w:rsidR="00346D95" w:rsidRPr="00C815C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. </w:t>
            </w:r>
            <w:r w:rsidR="00695364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Suppliers Product </w:t>
            </w: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Market Competition</w:t>
            </w:r>
            <w:r w:rsidR="00695364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, Customer Concentration,</w:t>
            </w: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 and </w:t>
            </w:r>
            <w:r w:rsidR="00346D95" w:rsidRPr="00C815C7"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 xml:space="preserve">Cost </w:t>
            </w:r>
            <w:r>
              <w:rPr>
                <w:rFonts w:ascii="Times New Roman" w:eastAsia="SimSun" w:hAnsi="Times New Roman"/>
                <w:sz w:val="22"/>
                <w:szCs w:val="22"/>
                <w:lang w:eastAsia="zh-CN"/>
              </w:rPr>
              <w:t>Structure</w:t>
            </w:r>
            <w:r w:rsidR="00346D95" w:rsidRPr="00C815C7">
              <w:rPr>
                <w:rFonts w:ascii="Times New Roman" w:eastAsia="Times New Roman" w:hAnsi="Times New Roman"/>
                <w:i/>
                <w:sz w:val="22"/>
                <w:szCs w:val="22"/>
                <w:lang w:eastAsia="zh-CN"/>
              </w:rPr>
              <w:t>.</w:t>
            </w:r>
            <w:r w:rsidR="00997D10">
              <w:rPr>
                <w:rFonts w:ascii="Times New Roman" w:eastAsia="Times New Roman" w:hAnsi="Times New Roman"/>
                <w:i/>
                <w:sz w:val="22"/>
                <w:szCs w:val="22"/>
                <w:lang w:eastAsia="zh-CN"/>
              </w:rPr>
              <w:t xml:space="preserve"> Journal of Management Accounting Research.</w:t>
            </w:r>
          </w:p>
          <w:p w14:paraId="303F5C02" w14:textId="3E10AD8D" w:rsidR="00160DF4" w:rsidRPr="00421A6F" w:rsidRDefault="00346D95" w:rsidP="00421A6F">
            <w:pPr>
              <w:pStyle w:val="af"/>
              <w:numPr>
                <w:ilvl w:val="0"/>
                <w:numId w:val="16"/>
              </w:numPr>
              <w:rPr>
                <w:rFonts w:ascii="Times New Roman" w:hAnsi="Times New Roman"/>
                <w:sz w:val="22"/>
                <w:szCs w:val="22"/>
              </w:rPr>
            </w:pPr>
            <w:r w:rsidRPr="0093562E">
              <w:rPr>
                <w:rFonts w:ascii="Times New Roman" w:eastAsia="Times New Roman" w:hAnsi="Times New Roman"/>
                <w:color w:val="222222"/>
                <w:sz w:val="22"/>
                <w:szCs w:val="22"/>
                <w:shd w:val="clear" w:color="auto" w:fill="FFFFFF"/>
              </w:rPr>
              <w:t>Chang et al. 20</w:t>
            </w:r>
            <w:r w:rsidR="00160DF4" w:rsidRPr="0093562E">
              <w:rPr>
                <w:rFonts w:ascii="Times New Roman" w:eastAsia="Times New Roman" w:hAnsi="Times New Roman"/>
                <w:color w:val="222222"/>
                <w:sz w:val="22"/>
                <w:szCs w:val="22"/>
                <w:shd w:val="clear" w:color="auto" w:fill="FFFFFF"/>
              </w:rPr>
              <w:t>20</w:t>
            </w:r>
            <w:r w:rsidRPr="0093562E">
              <w:rPr>
                <w:rFonts w:ascii="Times New Roman" w:eastAsia="Times New Roman" w:hAnsi="Times New Roman"/>
                <w:color w:val="222222"/>
                <w:sz w:val="22"/>
                <w:szCs w:val="22"/>
                <w:shd w:val="clear" w:color="auto" w:fill="FFFFFF"/>
              </w:rPr>
              <w:t xml:space="preserve">. Effect of </w:t>
            </w:r>
            <w:r w:rsidR="00160DF4" w:rsidRPr="0093562E">
              <w:rPr>
                <w:rFonts w:ascii="Times New Roman" w:eastAsia="Times New Roman" w:hAnsi="Times New Roman"/>
                <w:color w:val="222222"/>
                <w:sz w:val="22"/>
                <w:szCs w:val="22"/>
                <w:shd w:val="clear" w:color="auto" w:fill="FFFFFF"/>
              </w:rPr>
              <w:t>O</w:t>
            </w:r>
            <w:r w:rsidRPr="0093562E">
              <w:rPr>
                <w:rFonts w:ascii="Times New Roman" w:eastAsia="Times New Roman" w:hAnsi="Times New Roman"/>
                <w:color w:val="222222"/>
                <w:sz w:val="22"/>
                <w:szCs w:val="22"/>
                <w:shd w:val="clear" w:color="auto" w:fill="FFFFFF"/>
              </w:rPr>
              <w:t xml:space="preserve">rganized </w:t>
            </w:r>
            <w:r w:rsidR="00160DF4" w:rsidRPr="0093562E">
              <w:rPr>
                <w:rFonts w:ascii="Times New Roman" w:eastAsia="Times New Roman" w:hAnsi="Times New Roman"/>
                <w:color w:val="222222"/>
                <w:sz w:val="22"/>
                <w:szCs w:val="22"/>
                <w:shd w:val="clear" w:color="auto" w:fill="FFFFFF"/>
              </w:rPr>
              <w:t>L</w:t>
            </w:r>
            <w:r w:rsidRPr="0093562E">
              <w:rPr>
                <w:rFonts w:ascii="Times New Roman" w:eastAsia="Times New Roman" w:hAnsi="Times New Roman"/>
                <w:color w:val="222222"/>
                <w:sz w:val="22"/>
                <w:szCs w:val="22"/>
                <w:shd w:val="clear" w:color="auto" w:fill="FFFFFF"/>
              </w:rPr>
              <w:t>abor on SG&amp;A.</w:t>
            </w:r>
            <w:r w:rsidR="002F2230">
              <w:rPr>
                <w:rFonts w:ascii="Times New Roman" w:eastAsia="Times New Roman" w:hAnsi="Times New Roman"/>
                <w:color w:val="222222"/>
                <w:sz w:val="22"/>
                <w:szCs w:val="22"/>
                <w:shd w:val="clear" w:color="auto" w:fill="FFFFFF"/>
              </w:rPr>
              <w:t xml:space="preserve"> Working </w:t>
            </w:r>
            <w:r w:rsidR="00246BCB">
              <w:rPr>
                <w:rFonts w:ascii="Times New Roman" w:eastAsia="Times New Roman" w:hAnsi="Times New Roman"/>
                <w:color w:val="222222"/>
                <w:sz w:val="22"/>
                <w:szCs w:val="22"/>
                <w:shd w:val="clear" w:color="auto" w:fill="FFFFFF"/>
              </w:rPr>
              <w:t>P</w:t>
            </w:r>
            <w:r w:rsidR="002F2230">
              <w:rPr>
                <w:rFonts w:ascii="Times New Roman" w:eastAsia="Times New Roman" w:hAnsi="Times New Roman"/>
                <w:color w:val="222222"/>
                <w:sz w:val="22"/>
                <w:szCs w:val="22"/>
                <w:shd w:val="clear" w:color="auto" w:fill="FFFFFF"/>
              </w:rPr>
              <w:t>aper</w:t>
            </w:r>
            <w:r w:rsidR="00997D10">
              <w:rPr>
                <w:rFonts w:ascii="Times New Roman" w:eastAsia="Times New Roman" w:hAnsi="Times New Roman"/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C815C7" w:rsidRPr="00A740CD" w14:paraId="41A0281B" w14:textId="77777777" w:rsidTr="00A27EDB">
        <w:tc>
          <w:tcPr>
            <w:tcW w:w="990" w:type="dxa"/>
          </w:tcPr>
          <w:p w14:paraId="3DC46FBF" w14:textId="514E7581" w:rsidR="00C815C7" w:rsidRDefault="00C815C7" w:rsidP="00C815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</w:tcPr>
          <w:p w14:paraId="49684C6B" w14:textId="75BC6D74" w:rsidR="00C815C7" w:rsidRPr="00A740CD" w:rsidRDefault="00C815C7" w:rsidP="00C815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November </w:t>
            </w:r>
            <w:r w:rsidR="00BB5244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14:paraId="41487B57" w14:textId="77777777" w:rsidR="00C815C7" w:rsidRDefault="00C815C7" w:rsidP="00C815C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3FFD1EC" w14:textId="77777777" w:rsidR="00C815C7" w:rsidRDefault="00C815C7" w:rsidP="00C815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0" w:type="dxa"/>
          </w:tcPr>
          <w:p w14:paraId="6F9DD126" w14:textId="77777777" w:rsidR="00C815C7" w:rsidRPr="00C815C7" w:rsidRDefault="00C815C7" w:rsidP="00C815C7">
            <w:pPr>
              <w:pStyle w:val="af"/>
              <w:rPr>
                <w:rFonts w:ascii="Times New Roman" w:hAnsi="Times New Roman"/>
                <w:color w:val="000000" w:themeColor="text1"/>
                <w:sz w:val="22"/>
                <w:szCs w:val="22"/>
                <w:lang w:eastAsia="zh-TW"/>
              </w:rPr>
            </w:pPr>
            <w:r w:rsidRPr="00C815C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Corporate </w:t>
            </w:r>
            <w:r w:rsidRPr="00C815C7">
              <w:rPr>
                <w:rFonts w:ascii="Times New Roman" w:hAnsi="Times New Roman"/>
                <w:color w:val="000000" w:themeColor="text1"/>
                <w:sz w:val="22"/>
                <w:szCs w:val="22"/>
                <w:lang w:eastAsia="zh-TW"/>
              </w:rPr>
              <w:t>Social Responsibility</w:t>
            </w:r>
          </w:p>
          <w:p w14:paraId="40C2F9B2" w14:textId="127ED7CF" w:rsidR="00C815C7" w:rsidRPr="00C815C7" w:rsidRDefault="00C815C7" w:rsidP="00C815C7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C815C7">
              <w:rPr>
                <w:rFonts w:ascii="Times New Roman" w:hAnsi="Times New Roman"/>
                <w:color w:val="000000"/>
                <w:sz w:val="22"/>
                <w:szCs w:val="22"/>
              </w:rPr>
              <w:t>Manchiraju</w:t>
            </w:r>
            <w:proofErr w:type="spellEnd"/>
            <w:r w:rsidRPr="00C815C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Pr="00C815C7">
              <w:rPr>
                <w:rFonts w:ascii="Times New Roman" w:hAnsi="Times New Roman"/>
                <w:color w:val="000000"/>
                <w:sz w:val="22"/>
                <w:szCs w:val="22"/>
              </w:rPr>
              <w:t>Rajgopal</w:t>
            </w:r>
            <w:proofErr w:type="spellEnd"/>
            <w:r w:rsidRPr="00C815C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2017. Does </w:t>
            </w:r>
            <w:r w:rsidR="00676FBF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  <w:r w:rsidRPr="00C815C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orporate </w:t>
            </w:r>
            <w:r w:rsidR="00676FBF">
              <w:rPr>
                <w:rFonts w:ascii="Times New Roman" w:hAnsi="Times New Roman"/>
                <w:color w:val="000000"/>
                <w:sz w:val="22"/>
                <w:szCs w:val="22"/>
              </w:rPr>
              <w:t>S</w:t>
            </w:r>
            <w:r w:rsidRPr="00C815C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ocial </w:t>
            </w:r>
            <w:r w:rsidR="00676FB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815C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esponsibility (CSR) </w:t>
            </w:r>
            <w:r w:rsidR="00676FBF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  <w:r w:rsidRPr="00C815C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reate </w:t>
            </w:r>
            <w:r w:rsidR="00676FBF">
              <w:rPr>
                <w:rFonts w:ascii="Times New Roman" w:hAnsi="Times New Roman"/>
                <w:color w:val="000000"/>
                <w:sz w:val="22"/>
                <w:szCs w:val="22"/>
              </w:rPr>
              <w:t>S</w:t>
            </w:r>
            <w:r w:rsidRPr="00C815C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hareholder </w:t>
            </w:r>
            <w:r w:rsidR="00676FBF">
              <w:rPr>
                <w:rFonts w:ascii="Times New Roman" w:hAnsi="Times New Roman"/>
                <w:color w:val="000000"/>
                <w:sz w:val="22"/>
                <w:szCs w:val="22"/>
              </w:rPr>
              <w:t>V</w:t>
            </w:r>
            <w:r w:rsidRPr="00C815C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alue? Evidence from the Indian Companies Act 2013. </w:t>
            </w:r>
            <w:r w:rsidRPr="00C815C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Journal of Accounting Research</w:t>
            </w:r>
            <w:r w:rsidRPr="00C815C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14:paraId="782514E9" w14:textId="0F616356" w:rsidR="00C815C7" w:rsidRPr="00C815C7" w:rsidRDefault="00C815C7" w:rsidP="00C815C7">
            <w:pPr>
              <w:pStyle w:val="af"/>
              <w:numPr>
                <w:ilvl w:val="0"/>
                <w:numId w:val="17"/>
              </w:num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C815C7">
              <w:rPr>
                <w:rFonts w:ascii="Times New Roman" w:hAnsi="Times New Roman"/>
                <w:color w:val="000000"/>
                <w:sz w:val="22"/>
                <w:szCs w:val="22"/>
              </w:rPr>
              <w:t>Cronqvist</w:t>
            </w:r>
            <w:proofErr w:type="spellEnd"/>
            <w:r w:rsidRPr="00C815C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&amp; Yu. 2017. Shaped by </w:t>
            </w:r>
            <w:r w:rsidR="00676FBF">
              <w:rPr>
                <w:rFonts w:ascii="Times New Roman" w:hAnsi="Times New Roman"/>
                <w:color w:val="000000"/>
                <w:sz w:val="22"/>
                <w:szCs w:val="22"/>
              </w:rPr>
              <w:t>T</w:t>
            </w:r>
            <w:r w:rsidRPr="00C815C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heir </w:t>
            </w:r>
            <w:r w:rsidR="00676FBF">
              <w:rPr>
                <w:rFonts w:ascii="Times New Roman" w:hAnsi="Times New Roman"/>
                <w:color w:val="000000"/>
                <w:sz w:val="22"/>
                <w:szCs w:val="22"/>
              </w:rPr>
              <w:t>D</w:t>
            </w:r>
            <w:r w:rsidRPr="00C815C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aughters: Executives, </w:t>
            </w:r>
            <w:r w:rsidR="00676FBF">
              <w:rPr>
                <w:rFonts w:ascii="Times New Roman" w:hAnsi="Times New Roman"/>
                <w:color w:val="000000"/>
                <w:sz w:val="22"/>
                <w:szCs w:val="22"/>
              </w:rPr>
              <w:t>F</w:t>
            </w:r>
            <w:r w:rsidRPr="00C815C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emale </w:t>
            </w:r>
            <w:r w:rsidR="00676FBF">
              <w:rPr>
                <w:rFonts w:ascii="Times New Roman" w:hAnsi="Times New Roman"/>
                <w:color w:val="000000"/>
                <w:sz w:val="22"/>
                <w:szCs w:val="22"/>
              </w:rPr>
              <w:t>S</w:t>
            </w:r>
            <w:r w:rsidRPr="00C815C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ocialization, and </w:t>
            </w:r>
            <w:r w:rsidR="00676FBF"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  <w:r w:rsidRPr="00C815C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orporate </w:t>
            </w:r>
            <w:r w:rsidR="00676FBF">
              <w:rPr>
                <w:rFonts w:ascii="Times New Roman" w:hAnsi="Times New Roman"/>
                <w:color w:val="000000"/>
                <w:sz w:val="22"/>
                <w:szCs w:val="22"/>
              </w:rPr>
              <w:t>S</w:t>
            </w:r>
            <w:r w:rsidRPr="00C815C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ocial </w:t>
            </w:r>
            <w:r w:rsidR="00676FBF">
              <w:rPr>
                <w:rFonts w:ascii="Times New Roman" w:hAnsi="Times New Roman"/>
                <w:color w:val="000000"/>
                <w:sz w:val="22"/>
                <w:szCs w:val="22"/>
              </w:rPr>
              <w:t>R</w:t>
            </w:r>
            <w:r w:rsidRPr="00C815C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esponsibility. </w:t>
            </w:r>
            <w:r w:rsidRPr="00C815C7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Journal of Financial Economics</w:t>
            </w:r>
            <w:r w:rsidRPr="00C815C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</w:tc>
      </w:tr>
      <w:tr w:rsidR="00C815C7" w:rsidRPr="00A740CD" w14:paraId="00797237" w14:textId="77777777" w:rsidTr="00A27EDB">
        <w:tc>
          <w:tcPr>
            <w:tcW w:w="990" w:type="dxa"/>
          </w:tcPr>
          <w:p w14:paraId="6CF254FC" w14:textId="14B0839D" w:rsidR="00C815C7" w:rsidRDefault="00C815C7" w:rsidP="00C815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0" w:type="dxa"/>
          </w:tcPr>
          <w:p w14:paraId="232DCC08" w14:textId="47579053" w:rsidR="00C815C7" w:rsidRPr="00BE7E4A" w:rsidRDefault="00C815C7" w:rsidP="00C815C7">
            <w:pPr>
              <w:rPr>
                <w:rFonts w:ascii="Times New Roman" w:hAnsi="Times New Roman"/>
                <w:sz w:val="20"/>
                <w:szCs w:val="20"/>
              </w:rPr>
            </w:pPr>
            <w:r w:rsidRPr="00BE7E4A">
              <w:rPr>
                <w:rFonts w:ascii="Times New Roman" w:hAnsi="Times New Roman"/>
                <w:sz w:val="20"/>
                <w:szCs w:val="20"/>
              </w:rPr>
              <w:t xml:space="preserve">November </w:t>
            </w:r>
            <w:r w:rsidR="00160DF4" w:rsidRPr="00BE7E4A">
              <w:rPr>
                <w:rFonts w:ascii="Times New Roman" w:hAnsi="Times New Roman"/>
                <w:sz w:val="20"/>
                <w:szCs w:val="20"/>
              </w:rPr>
              <w:t>2</w:t>
            </w:r>
            <w:r w:rsidR="00BB5244">
              <w:rPr>
                <w:rFonts w:ascii="Times New Roman" w:hAnsi="Times New Roman"/>
                <w:sz w:val="20"/>
                <w:szCs w:val="20"/>
              </w:rPr>
              <w:t>6</w:t>
            </w:r>
          </w:p>
          <w:p w14:paraId="27B34534" w14:textId="77777777" w:rsidR="00C815C7" w:rsidRPr="00BE7E4A" w:rsidRDefault="00C815C7" w:rsidP="00C815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10" w:type="dxa"/>
          </w:tcPr>
          <w:p w14:paraId="62CEBE87" w14:textId="483AF727" w:rsidR="00C815C7" w:rsidRPr="00BE7E4A" w:rsidRDefault="00BE7E4A" w:rsidP="008A3295">
            <w:pPr>
              <w:pStyle w:val="af"/>
              <w:rPr>
                <w:rFonts w:ascii="Times New Roman" w:hAnsi="Times New Roman"/>
                <w:bCs/>
                <w:sz w:val="22"/>
                <w:szCs w:val="22"/>
                <w:lang w:eastAsia="zh-TW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zh-TW"/>
              </w:rPr>
              <w:t>Business</w:t>
            </w:r>
            <w:r w:rsidRPr="00BE7E4A">
              <w:rPr>
                <w:rFonts w:ascii="Times New Roman" w:hAnsi="Times New Roman"/>
                <w:bCs/>
                <w:sz w:val="22"/>
                <w:szCs w:val="22"/>
                <w:lang w:eastAsia="zh-TW"/>
              </w:rPr>
              <w:t xml:space="preserve"> </w:t>
            </w:r>
            <w:r w:rsidR="00C815C7" w:rsidRPr="00BE7E4A">
              <w:rPr>
                <w:rFonts w:ascii="Times New Roman" w:hAnsi="Times New Roman"/>
                <w:bCs/>
                <w:sz w:val="22"/>
                <w:szCs w:val="22"/>
                <w:lang w:eastAsia="zh-TW"/>
              </w:rPr>
              <w:t>S</w:t>
            </w:r>
            <w:r w:rsidR="00160DF4" w:rsidRPr="00BE7E4A">
              <w:rPr>
                <w:rFonts w:ascii="Times New Roman" w:hAnsi="Times New Roman"/>
                <w:bCs/>
                <w:sz w:val="22"/>
                <w:szCs w:val="22"/>
                <w:lang w:eastAsia="zh-TW"/>
              </w:rPr>
              <w:t>trateg</w:t>
            </w:r>
            <w:r w:rsidRPr="00BE7E4A">
              <w:rPr>
                <w:rFonts w:ascii="Times New Roman" w:hAnsi="Times New Roman"/>
                <w:bCs/>
                <w:sz w:val="22"/>
                <w:szCs w:val="22"/>
                <w:lang w:eastAsia="zh-TW"/>
              </w:rPr>
              <w:t>y</w:t>
            </w:r>
            <w:r w:rsidR="00160DF4" w:rsidRPr="00BE7E4A">
              <w:rPr>
                <w:rFonts w:ascii="Times New Roman" w:hAnsi="Times New Roman"/>
                <w:bCs/>
                <w:sz w:val="22"/>
                <w:szCs w:val="22"/>
                <w:lang w:eastAsia="zh-TW"/>
              </w:rPr>
              <w:t xml:space="preserve"> and its Implication</w:t>
            </w:r>
            <w:r w:rsidR="006A2A53" w:rsidRPr="00BE7E4A">
              <w:rPr>
                <w:rFonts w:ascii="Times New Roman" w:hAnsi="Times New Roman"/>
                <w:bCs/>
                <w:sz w:val="22"/>
                <w:szCs w:val="22"/>
                <w:lang w:eastAsia="zh-TW"/>
              </w:rPr>
              <w:t>s</w:t>
            </w:r>
          </w:p>
          <w:p w14:paraId="0C7BBEED" w14:textId="77777777" w:rsidR="00246BCB" w:rsidRPr="00246BCB" w:rsidRDefault="00BE7E4A" w:rsidP="00246BCB">
            <w:pPr>
              <w:pStyle w:val="af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2"/>
                <w:szCs w:val="22"/>
                <w:lang w:eastAsia="zh-TW"/>
              </w:rPr>
            </w:pPr>
            <w:proofErr w:type="spellStart"/>
            <w:r w:rsidRPr="00BE7E4A">
              <w:rPr>
                <w:rFonts w:ascii="Times New Roman" w:hAnsi="Times New Roman"/>
                <w:color w:val="000000"/>
                <w:sz w:val="22"/>
                <w:szCs w:val="22"/>
              </w:rPr>
              <w:t>Bently</w:t>
            </w:r>
            <w:proofErr w:type="spellEnd"/>
            <w:r w:rsidRPr="00BE7E4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et al. 2013. Business Strategy, Financial Reporting Irregularities, and Audit Effort. </w:t>
            </w:r>
            <w:r w:rsidRPr="00BE7E4A">
              <w:rPr>
                <w:rFonts w:ascii="Times New Roman" w:hAnsi="Times New Roman"/>
                <w:i/>
                <w:sz w:val="22"/>
                <w:szCs w:val="22"/>
              </w:rPr>
              <w:t>Contemporary Accounting Research</w:t>
            </w:r>
            <w:r w:rsidRPr="00BE7E4A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2372A6E5" w14:textId="547C2A5C" w:rsidR="00246BCB" w:rsidRPr="00246BCB" w:rsidRDefault="00160DF4" w:rsidP="00246BCB">
            <w:pPr>
              <w:pStyle w:val="af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2"/>
                <w:szCs w:val="22"/>
                <w:lang w:eastAsia="zh-TW"/>
              </w:rPr>
            </w:pPr>
            <w:r w:rsidRPr="00246BCB">
              <w:rPr>
                <w:rFonts w:ascii="Times New Roman" w:hAnsi="Times New Roman"/>
                <w:color w:val="000000"/>
                <w:sz w:val="22"/>
                <w:szCs w:val="22"/>
              </w:rPr>
              <w:t>Chang et al. 2020.</w:t>
            </w:r>
            <w:r w:rsidR="00246BCB" w:rsidRPr="00246BC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Customer Bargaining Power, St</w:t>
            </w:r>
            <w:r w:rsidRPr="00246BCB">
              <w:rPr>
                <w:rFonts w:ascii="Times New Roman" w:hAnsi="Times New Roman"/>
                <w:sz w:val="22"/>
                <w:szCs w:val="22"/>
              </w:rPr>
              <w:t>rategic Fit</w:t>
            </w:r>
            <w:r w:rsidR="00246BCB" w:rsidRPr="00246BC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246BCB">
              <w:rPr>
                <w:rFonts w:ascii="Times New Roman" w:hAnsi="Times New Roman"/>
                <w:sz w:val="22"/>
                <w:szCs w:val="22"/>
              </w:rPr>
              <w:t>and Supplier Performance.</w:t>
            </w:r>
            <w:r w:rsidR="00246BCB">
              <w:rPr>
                <w:rFonts w:ascii="Times New Roman" w:hAnsi="Times New Roman"/>
                <w:sz w:val="22"/>
                <w:szCs w:val="22"/>
              </w:rPr>
              <w:t xml:space="preserve"> Working Paper.</w:t>
            </w:r>
          </w:p>
        </w:tc>
      </w:tr>
      <w:tr w:rsidR="00C815C7" w:rsidRPr="00A740CD" w14:paraId="70AFA875" w14:textId="77777777" w:rsidTr="00A27EDB">
        <w:tc>
          <w:tcPr>
            <w:tcW w:w="990" w:type="dxa"/>
          </w:tcPr>
          <w:p w14:paraId="3FF452EE" w14:textId="2EF91FAE" w:rsidR="00C815C7" w:rsidRPr="00A740CD" w:rsidRDefault="00C815C7" w:rsidP="00C815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14:paraId="264128B5" w14:textId="3883040A" w:rsidR="00C815C7" w:rsidRPr="00A740CD" w:rsidRDefault="00BB5244" w:rsidP="00C815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December 3</w:t>
            </w:r>
          </w:p>
          <w:p w14:paraId="1B1E53B3" w14:textId="618B33D6" w:rsidR="00C815C7" w:rsidRPr="00A740CD" w:rsidRDefault="00C815C7" w:rsidP="00C815C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0" w:type="dxa"/>
          </w:tcPr>
          <w:p w14:paraId="60AF37FF" w14:textId="1BE366B4" w:rsidR="00C815C7" w:rsidRPr="00C815C7" w:rsidRDefault="00B7365D" w:rsidP="00C815C7">
            <w:pPr>
              <w:pStyle w:val="a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Managerial ability</w:t>
            </w:r>
          </w:p>
          <w:p w14:paraId="33CF0462" w14:textId="6528B40B" w:rsidR="0093562E" w:rsidRPr="00C815C7" w:rsidRDefault="00B7365D" w:rsidP="0093562E">
            <w:pPr>
              <w:pStyle w:val="af"/>
              <w:numPr>
                <w:ilvl w:val="0"/>
                <w:numId w:val="19"/>
              </w:num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Baik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et al. 2020. Managerial </w:t>
            </w:r>
            <w:r w:rsidR="00676FB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bility and </w:t>
            </w:r>
            <w:r w:rsidR="00676FB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ncome </w:t>
            </w:r>
            <w:r w:rsidR="00676FB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moothing. </w:t>
            </w:r>
            <w:r w:rsidR="0093562E" w:rsidRPr="00C815C7"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  <w:t>The Accounting Review</w:t>
            </w:r>
            <w:r w:rsidR="0093562E" w:rsidRPr="00C815C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  <w:p w14:paraId="757DA855" w14:textId="7C19AD16" w:rsidR="00C815C7" w:rsidRPr="0093562E" w:rsidRDefault="00B7365D" w:rsidP="0093562E">
            <w:pPr>
              <w:pStyle w:val="af"/>
              <w:numPr>
                <w:ilvl w:val="0"/>
                <w:numId w:val="19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Chang et al. 2020</w:t>
            </w:r>
            <w:r w:rsidR="00C815C7" w:rsidRPr="00C815C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Managerial </w:t>
            </w:r>
            <w:r w:rsidR="00676FB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bility and </w:t>
            </w:r>
            <w:r w:rsidR="00676FB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nformation </w:t>
            </w:r>
            <w:r w:rsidR="00676FB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ontent of </w:t>
            </w:r>
            <w:r w:rsidR="00676FB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ividends</w:t>
            </w:r>
            <w:r w:rsidR="00C815C7" w:rsidRPr="00C815C7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="00246BC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Working Paper.</w:t>
            </w:r>
          </w:p>
        </w:tc>
      </w:tr>
      <w:tr w:rsidR="00C815C7" w:rsidRPr="00A740CD" w14:paraId="542879C7" w14:textId="77777777" w:rsidTr="00A27EDB">
        <w:tc>
          <w:tcPr>
            <w:tcW w:w="990" w:type="dxa"/>
          </w:tcPr>
          <w:p w14:paraId="2CB79330" w14:textId="633B56CB" w:rsidR="00C815C7" w:rsidRPr="00A740CD" w:rsidRDefault="00C815C7" w:rsidP="00C815C7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14:paraId="0444D91C" w14:textId="50C87D8D" w:rsidR="00C815C7" w:rsidRPr="00BB5244" w:rsidRDefault="00BB5244" w:rsidP="00C815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December 10</w:t>
            </w:r>
          </w:p>
        </w:tc>
        <w:tc>
          <w:tcPr>
            <w:tcW w:w="8010" w:type="dxa"/>
          </w:tcPr>
          <w:p w14:paraId="5C1E3B9E" w14:textId="3794AB32" w:rsidR="006A2A53" w:rsidRPr="006A2A53" w:rsidRDefault="006A2A53" w:rsidP="006A2A53">
            <w:pPr>
              <w:pStyle w:val="af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A2A53">
              <w:rPr>
                <w:rFonts w:ascii="Times New Roman" w:hAnsi="Times New Roman"/>
                <w:color w:val="000000"/>
                <w:sz w:val="22"/>
                <w:szCs w:val="22"/>
              </w:rPr>
              <w:t>Tax Avoidance</w:t>
            </w:r>
            <w:r w:rsidR="00B060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Issues</w:t>
            </w:r>
          </w:p>
          <w:p w14:paraId="1608392D" w14:textId="6F4C0447" w:rsidR="006A2A53" w:rsidRPr="006A2A53" w:rsidRDefault="006A2A53" w:rsidP="006A2A53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 w:rsidRPr="006A2A53">
              <w:rPr>
                <w:rFonts w:ascii="Times New Roman" w:hAnsi="Times New Roman"/>
                <w:color w:val="000000"/>
                <w:sz w:val="22"/>
                <w:szCs w:val="22"/>
              </w:rPr>
              <w:t>Kerr. 20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  <w:r w:rsidRPr="006A2A5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Transparency,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Pr="006A2A5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nformation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</w:t>
            </w:r>
            <w:r w:rsidRPr="006A2A5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hocks, and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</w:t>
            </w:r>
            <w:r w:rsidRPr="006A2A5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ax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  <w:r w:rsidRPr="006A2A5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voidance. </w:t>
            </w:r>
            <w:r w:rsidRPr="006A2A53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Contemporary Accounting Research</w:t>
            </w:r>
            <w:r w:rsidRPr="006A2A53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14:paraId="5DD51F8E" w14:textId="3A7271E7" w:rsidR="00C815C7" w:rsidRPr="00B06023" w:rsidRDefault="006A2A53" w:rsidP="006A2A53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  <w:r w:rsidRPr="00B06023">
              <w:rPr>
                <w:rFonts w:ascii="Times New Roman" w:hAnsi="Times New Roman"/>
                <w:color w:val="000000"/>
                <w:sz w:val="22"/>
                <w:szCs w:val="22"/>
              </w:rPr>
              <w:t>Chang et al. 2020.</w:t>
            </w:r>
            <w:r w:rsidR="00B06023" w:rsidRPr="00B06023">
              <w:rPr>
                <w:rFonts w:ascii="Times New Roman" w:hAnsi="Times New Roman"/>
                <w:color w:val="201F1E"/>
                <w:sz w:val="22"/>
                <w:szCs w:val="22"/>
                <w:shd w:val="clear" w:color="auto" w:fill="FFFFFF"/>
              </w:rPr>
              <w:t xml:space="preserve"> How Internal Control Protects Shareholders' Welfare: Evidence from Tax Avoidance in China</w:t>
            </w:r>
            <w:r w:rsidRPr="00B06023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997D1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997D10" w:rsidRPr="00082CF8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Journal of International Accounting Research.</w:t>
            </w:r>
          </w:p>
        </w:tc>
      </w:tr>
      <w:bookmarkEnd w:id="0"/>
    </w:tbl>
    <w:p w14:paraId="4BDF4A33" w14:textId="77777777" w:rsidR="00224555" w:rsidRPr="00A740CD" w:rsidRDefault="00224555" w:rsidP="00943E79">
      <w:pPr>
        <w:rPr>
          <w:rFonts w:ascii="Times New Roman" w:hAnsi="Times New Roman"/>
          <w:b/>
          <w:bCs/>
          <w:sz w:val="20"/>
          <w:szCs w:val="20"/>
          <w:lang w:eastAsia="zh-TW"/>
        </w:rPr>
      </w:pPr>
    </w:p>
    <w:sectPr w:rsidR="00224555" w:rsidRPr="00A740CD" w:rsidSect="00A963D7">
      <w:footerReference w:type="even" r:id="rId7"/>
      <w:footerReference w:type="default" r:id="rId8"/>
      <w:pgSz w:w="12240" w:h="15840"/>
      <w:pgMar w:top="720" w:right="720" w:bottom="568" w:left="72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8F8C8" w14:textId="77777777" w:rsidR="00F328B5" w:rsidRDefault="00F328B5">
      <w:r>
        <w:separator/>
      </w:r>
    </w:p>
  </w:endnote>
  <w:endnote w:type="continuationSeparator" w:id="0">
    <w:p w14:paraId="1643E0EE" w14:textId="77777777" w:rsidR="00F328B5" w:rsidRDefault="00F3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Joanna MT">
    <w:altName w:val="Palatino Linotype"/>
    <w:charset w:val="00"/>
    <w:family w:val="roman"/>
    <w:pitch w:val="variable"/>
    <w:sig w:usb0="00000007" w:usb1="00000000" w:usb2="00000000" w:usb3="00000000" w:csb0="00000093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8DC23" w14:textId="77777777" w:rsidR="00DE0F2D" w:rsidRDefault="00DE0F2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8F1E037" w14:textId="77777777" w:rsidR="00DE0F2D" w:rsidRDefault="00DE0F2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27065" w14:textId="0A15CEFE" w:rsidR="00DE0F2D" w:rsidRDefault="00DE0F2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E013F">
      <w:rPr>
        <w:rStyle w:val="a8"/>
        <w:noProof/>
      </w:rPr>
      <w:t>2</w:t>
    </w:r>
    <w:r>
      <w:rPr>
        <w:rStyle w:val="a8"/>
      </w:rPr>
      <w:fldChar w:fldCharType="end"/>
    </w:r>
  </w:p>
  <w:p w14:paraId="635EC854" w14:textId="77777777" w:rsidR="00DE0F2D" w:rsidRDefault="00DE0F2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089D7" w14:textId="77777777" w:rsidR="00F328B5" w:rsidRDefault="00F328B5">
      <w:r>
        <w:separator/>
      </w:r>
    </w:p>
  </w:footnote>
  <w:footnote w:type="continuationSeparator" w:id="0">
    <w:p w14:paraId="4EFBEFB0" w14:textId="77777777" w:rsidR="00F328B5" w:rsidRDefault="00F32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6630"/>
    <w:multiLevelType w:val="hybridMultilevel"/>
    <w:tmpl w:val="7A2C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15479"/>
    <w:multiLevelType w:val="hybridMultilevel"/>
    <w:tmpl w:val="DF4E60D2"/>
    <w:lvl w:ilvl="0" w:tplc="FD7636F6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64FE8"/>
    <w:multiLevelType w:val="hybridMultilevel"/>
    <w:tmpl w:val="2AEAD334"/>
    <w:lvl w:ilvl="0" w:tplc="83DC20D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2460"/>
    <w:multiLevelType w:val="hybridMultilevel"/>
    <w:tmpl w:val="7A2C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C0523"/>
    <w:multiLevelType w:val="hybridMultilevel"/>
    <w:tmpl w:val="67848A18"/>
    <w:lvl w:ilvl="0" w:tplc="A432C482">
      <w:start w:val="1"/>
      <w:numFmt w:val="decimal"/>
      <w:lvlText w:val="%1."/>
      <w:lvlJc w:val="left"/>
      <w:pPr>
        <w:ind w:left="720" w:hanging="360"/>
      </w:pPr>
      <w:rPr>
        <w:rFonts w:eastAsia="新細明體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A37AE"/>
    <w:multiLevelType w:val="hybridMultilevel"/>
    <w:tmpl w:val="01EC0826"/>
    <w:lvl w:ilvl="0" w:tplc="A1E2F3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05381"/>
    <w:multiLevelType w:val="hybridMultilevel"/>
    <w:tmpl w:val="51627EBE"/>
    <w:lvl w:ilvl="0" w:tplc="E1D2B6BA">
      <w:start w:val="1"/>
      <w:numFmt w:val="decimal"/>
      <w:lvlText w:val="%1."/>
      <w:lvlJc w:val="left"/>
      <w:pPr>
        <w:ind w:left="72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0A8E"/>
    <w:multiLevelType w:val="hybridMultilevel"/>
    <w:tmpl w:val="B3E86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40966"/>
    <w:multiLevelType w:val="hybridMultilevel"/>
    <w:tmpl w:val="FB64D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7463F"/>
    <w:multiLevelType w:val="hybridMultilevel"/>
    <w:tmpl w:val="7A2C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B7890"/>
    <w:multiLevelType w:val="hybridMultilevel"/>
    <w:tmpl w:val="10AC1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C0DBD"/>
    <w:multiLevelType w:val="hybridMultilevel"/>
    <w:tmpl w:val="9D6E2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D2150"/>
    <w:multiLevelType w:val="hybridMultilevel"/>
    <w:tmpl w:val="B3E86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A6881"/>
    <w:multiLevelType w:val="hybridMultilevel"/>
    <w:tmpl w:val="CBA61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F3E84"/>
    <w:multiLevelType w:val="hybridMultilevel"/>
    <w:tmpl w:val="B900C9FE"/>
    <w:lvl w:ilvl="0" w:tplc="1DDC02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A7028"/>
    <w:multiLevelType w:val="hybridMultilevel"/>
    <w:tmpl w:val="4F24A7E2"/>
    <w:lvl w:ilvl="0" w:tplc="C81EBD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17657"/>
    <w:multiLevelType w:val="hybridMultilevel"/>
    <w:tmpl w:val="88F49E4A"/>
    <w:lvl w:ilvl="0" w:tplc="BB2C1A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C7A49"/>
    <w:multiLevelType w:val="hybridMultilevel"/>
    <w:tmpl w:val="C8168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61DEA"/>
    <w:multiLevelType w:val="hybridMultilevel"/>
    <w:tmpl w:val="5D8AF844"/>
    <w:lvl w:ilvl="0" w:tplc="00F62E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1E25F8"/>
    <w:multiLevelType w:val="hybridMultilevel"/>
    <w:tmpl w:val="062620E2"/>
    <w:lvl w:ilvl="0" w:tplc="3F38C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 w15:restartNumberingAfterBreak="0">
    <w:nsid w:val="778F7E88"/>
    <w:multiLevelType w:val="hybridMultilevel"/>
    <w:tmpl w:val="C8168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20"/>
  </w:num>
  <w:num w:numId="5">
    <w:abstractNumId w:val="8"/>
  </w:num>
  <w:num w:numId="6">
    <w:abstractNumId w:val="2"/>
  </w:num>
  <w:num w:numId="7">
    <w:abstractNumId w:val="4"/>
  </w:num>
  <w:num w:numId="8">
    <w:abstractNumId w:val="13"/>
  </w:num>
  <w:num w:numId="9">
    <w:abstractNumId w:val="10"/>
  </w:num>
  <w:num w:numId="10">
    <w:abstractNumId w:val="9"/>
  </w:num>
  <w:num w:numId="11">
    <w:abstractNumId w:val="17"/>
  </w:num>
  <w:num w:numId="12">
    <w:abstractNumId w:val="19"/>
  </w:num>
  <w:num w:numId="13">
    <w:abstractNumId w:val="12"/>
  </w:num>
  <w:num w:numId="14">
    <w:abstractNumId w:val="3"/>
  </w:num>
  <w:num w:numId="15">
    <w:abstractNumId w:val="11"/>
  </w:num>
  <w:num w:numId="16">
    <w:abstractNumId w:val="1"/>
  </w:num>
  <w:num w:numId="17">
    <w:abstractNumId w:val="5"/>
  </w:num>
  <w:num w:numId="18">
    <w:abstractNumId w:val="6"/>
  </w:num>
  <w:num w:numId="19">
    <w:abstractNumId w:val="16"/>
  </w:num>
  <w:num w:numId="20">
    <w:abstractNumId w:val="14"/>
  </w:num>
  <w:num w:numId="21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26E"/>
    <w:rsid w:val="00000563"/>
    <w:rsid w:val="00003693"/>
    <w:rsid w:val="00014199"/>
    <w:rsid w:val="00017BD5"/>
    <w:rsid w:val="00032C87"/>
    <w:rsid w:val="00037018"/>
    <w:rsid w:val="0006296E"/>
    <w:rsid w:val="00065B52"/>
    <w:rsid w:val="00066968"/>
    <w:rsid w:val="0007145F"/>
    <w:rsid w:val="00074C44"/>
    <w:rsid w:val="000758D6"/>
    <w:rsid w:val="00082698"/>
    <w:rsid w:val="00086B97"/>
    <w:rsid w:val="000A284C"/>
    <w:rsid w:val="000B281E"/>
    <w:rsid w:val="000C00EB"/>
    <w:rsid w:val="000C39BA"/>
    <w:rsid w:val="000D11EF"/>
    <w:rsid w:val="000E2A4B"/>
    <w:rsid w:val="000E2FDD"/>
    <w:rsid w:val="000E38DA"/>
    <w:rsid w:val="000F2C65"/>
    <w:rsid w:val="000F43B7"/>
    <w:rsid w:val="001138F2"/>
    <w:rsid w:val="00117110"/>
    <w:rsid w:val="00123D9C"/>
    <w:rsid w:val="00124F9D"/>
    <w:rsid w:val="00143EDC"/>
    <w:rsid w:val="00145251"/>
    <w:rsid w:val="001505F1"/>
    <w:rsid w:val="00156CAE"/>
    <w:rsid w:val="00160DF4"/>
    <w:rsid w:val="0016286E"/>
    <w:rsid w:val="00170E68"/>
    <w:rsid w:val="00170F10"/>
    <w:rsid w:val="0018581E"/>
    <w:rsid w:val="00194039"/>
    <w:rsid w:val="0019481B"/>
    <w:rsid w:val="001A06E7"/>
    <w:rsid w:val="001A29A3"/>
    <w:rsid w:val="001A59B7"/>
    <w:rsid w:val="001B0ACD"/>
    <w:rsid w:val="001B1AB2"/>
    <w:rsid w:val="001B2072"/>
    <w:rsid w:val="001B2F03"/>
    <w:rsid w:val="001C45D1"/>
    <w:rsid w:val="001D706E"/>
    <w:rsid w:val="001E010B"/>
    <w:rsid w:val="001E3095"/>
    <w:rsid w:val="001E56A5"/>
    <w:rsid w:val="001F2DE1"/>
    <w:rsid w:val="001F62B9"/>
    <w:rsid w:val="00206436"/>
    <w:rsid w:val="0021176A"/>
    <w:rsid w:val="00215558"/>
    <w:rsid w:val="00217FF1"/>
    <w:rsid w:val="002212AB"/>
    <w:rsid w:val="00224555"/>
    <w:rsid w:val="00226827"/>
    <w:rsid w:val="00244F52"/>
    <w:rsid w:val="00246BCB"/>
    <w:rsid w:val="00250612"/>
    <w:rsid w:val="0025476B"/>
    <w:rsid w:val="00254853"/>
    <w:rsid w:val="00257F5F"/>
    <w:rsid w:val="002740CA"/>
    <w:rsid w:val="0028224B"/>
    <w:rsid w:val="00295915"/>
    <w:rsid w:val="002A612B"/>
    <w:rsid w:val="002D0E35"/>
    <w:rsid w:val="002E13F3"/>
    <w:rsid w:val="002F2230"/>
    <w:rsid w:val="0031018D"/>
    <w:rsid w:val="00316740"/>
    <w:rsid w:val="00316C10"/>
    <w:rsid w:val="003215D8"/>
    <w:rsid w:val="0032461B"/>
    <w:rsid w:val="0032549E"/>
    <w:rsid w:val="00325928"/>
    <w:rsid w:val="003259A6"/>
    <w:rsid w:val="00326EEF"/>
    <w:rsid w:val="003301DC"/>
    <w:rsid w:val="00336C0A"/>
    <w:rsid w:val="003412FA"/>
    <w:rsid w:val="00341867"/>
    <w:rsid w:val="00346D95"/>
    <w:rsid w:val="00347157"/>
    <w:rsid w:val="00350DCA"/>
    <w:rsid w:val="00352414"/>
    <w:rsid w:val="00373C16"/>
    <w:rsid w:val="003842EB"/>
    <w:rsid w:val="003850C7"/>
    <w:rsid w:val="00387CF9"/>
    <w:rsid w:val="00394E07"/>
    <w:rsid w:val="003A5CF3"/>
    <w:rsid w:val="003B2EC8"/>
    <w:rsid w:val="003C2BE6"/>
    <w:rsid w:val="003C3CC1"/>
    <w:rsid w:val="003C7EF8"/>
    <w:rsid w:val="003D3262"/>
    <w:rsid w:val="003D3D9F"/>
    <w:rsid w:val="003E68FA"/>
    <w:rsid w:val="003F0AA3"/>
    <w:rsid w:val="004175AD"/>
    <w:rsid w:val="00421A6F"/>
    <w:rsid w:val="004228E3"/>
    <w:rsid w:val="00431372"/>
    <w:rsid w:val="00444165"/>
    <w:rsid w:val="00444386"/>
    <w:rsid w:val="00444D68"/>
    <w:rsid w:val="00445F63"/>
    <w:rsid w:val="004472D4"/>
    <w:rsid w:val="004476C6"/>
    <w:rsid w:val="00457F99"/>
    <w:rsid w:val="00466BF9"/>
    <w:rsid w:val="004739FC"/>
    <w:rsid w:val="0047406F"/>
    <w:rsid w:val="00475A5C"/>
    <w:rsid w:val="004760CD"/>
    <w:rsid w:val="004811D7"/>
    <w:rsid w:val="004A6BE8"/>
    <w:rsid w:val="004B374D"/>
    <w:rsid w:val="004B4F8F"/>
    <w:rsid w:val="004B5870"/>
    <w:rsid w:val="004C053B"/>
    <w:rsid w:val="004C51CB"/>
    <w:rsid w:val="004C732F"/>
    <w:rsid w:val="004D09A6"/>
    <w:rsid w:val="004D149C"/>
    <w:rsid w:val="004D6658"/>
    <w:rsid w:val="004E1BD4"/>
    <w:rsid w:val="004E6188"/>
    <w:rsid w:val="00501EDD"/>
    <w:rsid w:val="00505B2E"/>
    <w:rsid w:val="005068DE"/>
    <w:rsid w:val="005129A6"/>
    <w:rsid w:val="00516A62"/>
    <w:rsid w:val="005173A4"/>
    <w:rsid w:val="00524173"/>
    <w:rsid w:val="00526B44"/>
    <w:rsid w:val="0054187D"/>
    <w:rsid w:val="005421F3"/>
    <w:rsid w:val="00543D1D"/>
    <w:rsid w:val="00544FF9"/>
    <w:rsid w:val="00545857"/>
    <w:rsid w:val="0056310C"/>
    <w:rsid w:val="00563C15"/>
    <w:rsid w:val="0057765D"/>
    <w:rsid w:val="00580171"/>
    <w:rsid w:val="005857F4"/>
    <w:rsid w:val="005926D2"/>
    <w:rsid w:val="005934BD"/>
    <w:rsid w:val="005961C2"/>
    <w:rsid w:val="005A5398"/>
    <w:rsid w:val="005B3A97"/>
    <w:rsid w:val="005B5DBB"/>
    <w:rsid w:val="005B632A"/>
    <w:rsid w:val="005C0E11"/>
    <w:rsid w:val="005C1469"/>
    <w:rsid w:val="005C55EA"/>
    <w:rsid w:val="005C71F5"/>
    <w:rsid w:val="005D5831"/>
    <w:rsid w:val="005D6757"/>
    <w:rsid w:val="005D7662"/>
    <w:rsid w:val="005E387D"/>
    <w:rsid w:val="005E4366"/>
    <w:rsid w:val="005E70F0"/>
    <w:rsid w:val="006159A4"/>
    <w:rsid w:val="00620254"/>
    <w:rsid w:val="0062549D"/>
    <w:rsid w:val="00625BAC"/>
    <w:rsid w:val="006403BA"/>
    <w:rsid w:val="006409B8"/>
    <w:rsid w:val="0064180C"/>
    <w:rsid w:val="00645947"/>
    <w:rsid w:val="006614E2"/>
    <w:rsid w:val="00672610"/>
    <w:rsid w:val="00676FBF"/>
    <w:rsid w:val="00686C43"/>
    <w:rsid w:val="00693AB6"/>
    <w:rsid w:val="006948E1"/>
    <w:rsid w:val="00695364"/>
    <w:rsid w:val="006A0E8A"/>
    <w:rsid w:val="006A2A53"/>
    <w:rsid w:val="006A67FD"/>
    <w:rsid w:val="006B3454"/>
    <w:rsid w:val="006B6283"/>
    <w:rsid w:val="006C3EB0"/>
    <w:rsid w:val="006C3FFD"/>
    <w:rsid w:val="006C69D9"/>
    <w:rsid w:val="006E228B"/>
    <w:rsid w:val="006E2604"/>
    <w:rsid w:val="006E33D0"/>
    <w:rsid w:val="006F0F91"/>
    <w:rsid w:val="006F3319"/>
    <w:rsid w:val="006F35CD"/>
    <w:rsid w:val="00714F08"/>
    <w:rsid w:val="007169EE"/>
    <w:rsid w:val="00717434"/>
    <w:rsid w:val="00722510"/>
    <w:rsid w:val="00724818"/>
    <w:rsid w:val="00725835"/>
    <w:rsid w:val="00734A00"/>
    <w:rsid w:val="00735EF5"/>
    <w:rsid w:val="00737A33"/>
    <w:rsid w:val="007645AD"/>
    <w:rsid w:val="00765100"/>
    <w:rsid w:val="007665F7"/>
    <w:rsid w:val="00767859"/>
    <w:rsid w:val="0077029A"/>
    <w:rsid w:val="00774E8C"/>
    <w:rsid w:val="0078193F"/>
    <w:rsid w:val="00787943"/>
    <w:rsid w:val="00791E93"/>
    <w:rsid w:val="00792478"/>
    <w:rsid w:val="00796DA6"/>
    <w:rsid w:val="007A5E62"/>
    <w:rsid w:val="007B063A"/>
    <w:rsid w:val="007B0A2B"/>
    <w:rsid w:val="007B2832"/>
    <w:rsid w:val="007B5DB3"/>
    <w:rsid w:val="007C185C"/>
    <w:rsid w:val="007C5F7D"/>
    <w:rsid w:val="007C77C9"/>
    <w:rsid w:val="007D1E6A"/>
    <w:rsid w:val="007E4A02"/>
    <w:rsid w:val="007E7B5A"/>
    <w:rsid w:val="007F2245"/>
    <w:rsid w:val="00802187"/>
    <w:rsid w:val="0080643D"/>
    <w:rsid w:val="00806461"/>
    <w:rsid w:val="008131A4"/>
    <w:rsid w:val="00822D72"/>
    <w:rsid w:val="00823ABA"/>
    <w:rsid w:val="00840DDC"/>
    <w:rsid w:val="008436BA"/>
    <w:rsid w:val="0084411A"/>
    <w:rsid w:val="00853CCB"/>
    <w:rsid w:val="008551C0"/>
    <w:rsid w:val="00857B62"/>
    <w:rsid w:val="00872BB4"/>
    <w:rsid w:val="00883883"/>
    <w:rsid w:val="00890AFF"/>
    <w:rsid w:val="008928BB"/>
    <w:rsid w:val="00892C50"/>
    <w:rsid w:val="008967E8"/>
    <w:rsid w:val="0089725E"/>
    <w:rsid w:val="008A3295"/>
    <w:rsid w:val="008B2A48"/>
    <w:rsid w:val="008B2A98"/>
    <w:rsid w:val="008B56CB"/>
    <w:rsid w:val="008B59BA"/>
    <w:rsid w:val="008C21FC"/>
    <w:rsid w:val="008D6351"/>
    <w:rsid w:val="008E3709"/>
    <w:rsid w:val="008F1216"/>
    <w:rsid w:val="008F4BDF"/>
    <w:rsid w:val="008F5F83"/>
    <w:rsid w:val="00900B3F"/>
    <w:rsid w:val="009058AD"/>
    <w:rsid w:val="009066E5"/>
    <w:rsid w:val="00911B18"/>
    <w:rsid w:val="00930D43"/>
    <w:rsid w:val="0093562E"/>
    <w:rsid w:val="009368F0"/>
    <w:rsid w:val="009438F3"/>
    <w:rsid w:val="00943E79"/>
    <w:rsid w:val="00947ADC"/>
    <w:rsid w:val="00950A28"/>
    <w:rsid w:val="00950F77"/>
    <w:rsid w:val="00952714"/>
    <w:rsid w:val="00956F3F"/>
    <w:rsid w:val="00966559"/>
    <w:rsid w:val="00974A59"/>
    <w:rsid w:val="009760C6"/>
    <w:rsid w:val="009773FA"/>
    <w:rsid w:val="009821AA"/>
    <w:rsid w:val="00990D9D"/>
    <w:rsid w:val="009910C9"/>
    <w:rsid w:val="009953C2"/>
    <w:rsid w:val="0099599D"/>
    <w:rsid w:val="00997D10"/>
    <w:rsid w:val="009A53DF"/>
    <w:rsid w:val="009A549E"/>
    <w:rsid w:val="009A7BD4"/>
    <w:rsid w:val="009B0F80"/>
    <w:rsid w:val="009B70AF"/>
    <w:rsid w:val="009C2CF2"/>
    <w:rsid w:val="009D13F8"/>
    <w:rsid w:val="009E187E"/>
    <w:rsid w:val="009E326E"/>
    <w:rsid w:val="009E32C8"/>
    <w:rsid w:val="009E4184"/>
    <w:rsid w:val="009E6C89"/>
    <w:rsid w:val="00A04B7A"/>
    <w:rsid w:val="00A07E87"/>
    <w:rsid w:val="00A17C5B"/>
    <w:rsid w:val="00A24305"/>
    <w:rsid w:val="00A27EDB"/>
    <w:rsid w:val="00A32046"/>
    <w:rsid w:val="00A52367"/>
    <w:rsid w:val="00A5350F"/>
    <w:rsid w:val="00A62377"/>
    <w:rsid w:val="00A67917"/>
    <w:rsid w:val="00A67DE0"/>
    <w:rsid w:val="00A70C96"/>
    <w:rsid w:val="00A740CD"/>
    <w:rsid w:val="00A75F53"/>
    <w:rsid w:val="00A77CDC"/>
    <w:rsid w:val="00A80769"/>
    <w:rsid w:val="00A8095B"/>
    <w:rsid w:val="00A8526E"/>
    <w:rsid w:val="00A94E08"/>
    <w:rsid w:val="00A95267"/>
    <w:rsid w:val="00A963D7"/>
    <w:rsid w:val="00A97F7F"/>
    <w:rsid w:val="00AA306A"/>
    <w:rsid w:val="00AB161A"/>
    <w:rsid w:val="00AB5B27"/>
    <w:rsid w:val="00AB5C8B"/>
    <w:rsid w:val="00AB7DAC"/>
    <w:rsid w:val="00AC3A13"/>
    <w:rsid w:val="00AC534A"/>
    <w:rsid w:val="00AD6411"/>
    <w:rsid w:val="00AD6CC2"/>
    <w:rsid w:val="00AE2C1B"/>
    <w:rsid w:val="00AE4975"/>
    <w:rsid w:val="00AF402D"/>
    <w:rsid w:val="00B06023"/>
    <w:rsid w:val="00B060AE"/>
    <w:rsid w:val="00B143AB"/>
    <w:rsid w:val="00B15691"/>
    <w:rsid w:val="00B23767"/>
    <w:rsid w:val="00B23F1F"/>
    <w:rsid w:val="00B25AE7"/>
    <w:rsid w:val="00B31E82"/>
    <w:rsid w:val="00B32AE5"/>
    <w:rsid w:val="00B34DCB"/>
    <w:rsid w:val="00B355B7"/>
    <w:rsid w:val="00B415DB"/>
    <w:rsid w:val="00B44D02"/>
    <w:rsid w:val="00B50BD8"/>
    <w:rsid w:val="00B518C4"/>
    <w:rsid w:val="00B53C31"/>
    <w:rsid w:val="00B551D8"/>
    <w:rsid w:val="00B564D3"/>
    <w:rsid w:val="00B60343"/>
    <w:rsid w:val="00B627F3"/>
    <w:rsid w:val="00B66132"/>
    <w:rsid w:val="00B7365D"/>
    <w:rsid w:val="00B739A7"/>
    <w:rsid w:val="00B75FA1"/>
    <w:rsid w:val="00B763E1"/>
    <w:rsid w:val="00B92272"/>
    <w:rsid w:val="00B95415"/>
    <w:rsid w:val="00BB056B"/>
    <w:rsid w:val="00BB5244"/>
    <w:rsid w:val="00BC01EE"/>
    <w:rsid w:val="00BC2F72"/>
    <w:rsid w:val="00BD4CF4"/>
    <w:rsid w:val="00BE1389"/>
    <w:rsid w:val="00BE4F41"/>
    <w:rsid w:val="00BE5454"/>
    <w:rsid w:val="00BE7E4A"/>
    <w:rsid w:val="00BF0E15"/>
    <w:rsid w:val="00C1103A"/>
    <w:rsid w:val="00C13CDA"/>
    <w:rsid w:val="00C2358C"/>
    <w:rsid w:val="00C30DCC"/>
    <w:rsid w:val="00C31D6A"/>
    <w:rsid w:val="00C448C2"/>
    <w:rsid w:val="00C52327"/>
    <w:rsid w:val="00C57A8A"/>
    <w:rsid w:val="00C57ABF"/>
    <w:rsid w:val="00C7388D"/>
    <w:rsid w:val="00C7762B"/>
    <w:rsid w:val="00C815C7"/>
    <w:rsid w:val="00C93020"/>
    <w:rsid w:val="00CA4F6C"/>
    <w:rsid w:val="00CA6735"/>
    <w:rsid w:val="00CB31AC"/>
    <w:rsid w:val="00CB6E1C"/>
    <w:rsid w:val="00CB705C"/>
    <w:rsid w:val="00CB7B38"/>
    <w:rsid w:val="00CC0B2B"/>
    <w:rsid w:val="00CC1FBC"/>
    <w:rsid w:val="00CC6718"/>
    <w:rsid w:val="00CD3980"/>
    <w:rsid w:val="00CE045F"/>
    <w:rsid w:val="00CE5885"/>
    <w:rsid w:val="00CE6400"/>
    <w:rsid w:val="00CF1A26"/>
    <w:rsid w:val="00CF71CD"/>
    <w:rsid w:val="00D10777"/>
    <w:rsid w:val="00D170E0"/>
    <w:rsid w:val="00D17BEA"/>
    <w:rsid w:val="00D26AC6"/>
    <w:rsid w:val="00D3544F"/>
    <w:rsid w:val="00D44FBD"/>
    <w:rsid w:val="00D552B7"/>
    <w:rsid w:val="00D6005F"/>
    <w:rsid w:val="00D65ED7"/>
    <w:rsid w:val="00D66972"/>
    <w:rsid w:val="00D67C56"/>
    <w:rsid w:val="00D711D5"/>
    <w:rsid w:val="00D73C09"/>
    <w:rsid w:val="00D84CB1"/>
    <w:rsid w:val="00D87BF3"/>
    <w:rsid w:val="00D97848"/>
    <w:rsid w:val="00DA0C62"/>
    <w:rsid w:val="00DA1547"/>
    <w:rsid w:val="00DA4797"/>
    <w:rsid w:val="00DA58FB"/>
    <w:rsid w:val="00DB7BBD"/>
    <w:rsid w:val="00DC6542"/>
    <w:rsid w:val="00DD399E"/>
    <w:rsid w:val="00DE013F"/>
    <w:rsid w:val="00DE0F2D"/>
    <w:rsid w:val="00DE19A8"/>
    <w:rsid w:val="00E015F1"/>
    <w:rsid w:val="00E018F3"/>
    <w:rsid w:val="00E13602"/>
    <w:rsid w:val="00E15808"/>
    <w:rsid w:val="00E17F48"/>
    <w:rsid w:val="00E34088"/>
    <w:rsid w:val="00E40752"/>
    <w:rsid w:val="00E42C48"/>
    <w:rsid w:val="00E44963"/>
    <w:rsid w:val="00E61745"/>
    <w:rsid w:val="00E66037"/>
    <w:rsid w:val="00E7115F"/>
    <w:rsid w:val="00E77D86"/>
    <w:rsid w:val="00E804F8"/>
    <w:rsid w:val="00E81C00"/>
    <w:rsid w:val="00EB4185"/>
    <w:rsid w:val="00EF3909"/>
    <w:rsid w:val="00EF7431"/>
    <w:rsid w:val="00F12871"/>
    <w:rsid w:val="00F13FE2"/>
    <w:rsid w:val="00F14B1E"/>
    <w:rsid w:val="00F22166"/>
    <w:rsid w:val="00F30A3D"/>
    <w:rsid w:val="00F328B5"/>
    <w:rsid w:val="00F34E23"/>
    <w:rsid w:val="00F4269C"/>
    <w:rsid w:val="00F42C63"/>
    <w:rsid w:val="00F440CC"/>
    <w:rsid w:val="00F51AED"/>
    <w:rsid w:val="00F557E4"/>
    <w:rsid w:val="00F55DE1"/>
    <w:rsid w:val="00F6036E"/>
    <w:rsid w:val="00F64E7C"/>
    <w:rsid w:val="00F7040B"/>
    <w:rsid w:val="00F72913"/>
    <w:rsid w:val="00F85AF0"/>
    <w:rsid w:val="00F93D92"/>
    <w:rsid w:val="00FA0828"/>
    <w:rsid w:val="00FA2A5F"/>
    <w:rsid w:val="00FB69C4"/>
    <w:rsid w:val="00FD098B"/>
    <w:rsid w:val="00FD3189"/>
    <w:rsid w:val="00FD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21FFB5"/>
  <w15:chartTrackingRefBased/>
  <w15:docId w15:val="{7E0A326E-0FA7-41D0-A532-6C5ABCCC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Joanna MT" w:hAnsi="Joanna MT"/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100" w:beforeAutospacing="1" w:after="100" w:afterAutospacing="1"/>
      <w:jc w:val="center"/>
      <w:outlineLvl w:val="0"/>
    </w:pPr>
    <w:rPr>
      <w:rFonts w:ascii="Times New Roman" w:hAnsi="Times New Roman"/>
      <w:b/>
      <w:bCs/>
      <w:sz w:val="36"/>
      <w:szCs w:val="36"/>
      <w:lang w:eastAsia="zh-CN"/>
    </w:rPr>
  </w:style>
  <w:style w:type="paragraph" w:styleId="2">
    <w:name w:val="heading 2"/>
    <w:basedOn w:val="a"/>
    <w:next w:val="a"/>
    <w:qFormat/>
    <w:pPr>
      <w:keepNext/>
      <w:spacing w:before="100" w:beforeAutospacing="1" w:after="100" w:afterAutospacing="1"/>
      <w:jc w:val="center"/>
      <w:outlineLvl w:val="1"/>
    </w:pPr>
    <w:rPr>
      <w:rFonts w:ascii="Times New Roman" w:hAnsi="Times New Roman"/>
      <w:b/>
      <w:bCs/>
      <w:kern w:val="36"/>
      <w:sz w:val="44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link w:val="a5"/>
    <w:pPr>
      <w:spacing w:before="100" w:beforeAutospacing="1" w:after="100" w:afterAutospacing="1"/>
    </w:pPr>
    <w:rPr>
      <w:rFonts w:ascii="Times New Roman" w:hAnsi="Times New Roman"/>
      <w:sz w:val="24"/>
      <w:lang w:eastAsia="zh-CN"/>
    </w:rPr>
  </w:style>
  <w:style w:type="paragraph" w:styleId="a6">
    <w:name w:val="Title"/>
    <w:basedOn w:val="a"/>
    <w:qFormat/>
    <w:pPr>
      <w:spacing w:before="100" w:beforeAutospacing="1" w:after="100" w:afterAutospacing="1"/>
      <w:jc w:val="center"/>
      <w:outlineLvl w:val="0"/>
    </w:pPr>
    <w:rPr>
      <w:rFonts w:ascii="Times New Roman" w:hAnsi="Times New Roman"/>
      <w:b/>
      <w:bCs/>
      <w:kern w:val="36"/>
      <w:sz w:val="40"/>
      <w:szCs w:val="48"/>
      <w:lang w:eastAsia="zh-CN"/>
    </w:rPr>
  </w:style>
  <w:style w:type="paragraph" w:styleId="a7">
    <w:name w:val="footer"/>
    <w:basedOn w:val="a"/>
    <w:pPr>
      <w:tabs>
        <w:tab w:val="center" w:pos="4320"/>
        <w:tab w:val="right" w:pos="8640"/>
      </w:tabs>
    </w:pPr>
  </w:style>
  <w:style w:type="character" w:styleId="a8">
    <w:name w:val="page number"/>
    <w:basedOn w:val="a0"/>
  </w:style>
  <w:style w:type="character" w:styleId="a9">
    <w:name w:val="Emphasis"/>
    <w:uiPriority w:val="20"/>
    <w:qFormat/>
    <w:rsid w:val="00FA2A5F"/>
    <w:rPr>
      <w:i/>
      <w:iCs/>
    </w:rPr>
  </w:style>
  <w:style w:type="paragraph" w:styleId="aa">
    <w:name w:val="toa heading"/>
    <w:basedOn w:val="a"/>
    <w:next w:val="a"/>
    <w:semiHidden/>
    <w:rsid w:val="009821AA"/>
    <w:pPr>
      <w:widowControl w:val="0"/>
      <w:tabs>
        <w:tab w:val="right" w:pos="9360"/>
      </w:tabs>
      <w:suppressAutoHyphens/>
    </w:pPr>
    <w:rPr>
      <w:rFonts w:ascii="CG Times" w:eastAsia="Times New Roman" w:hAnsi="CG Times"/>
      <w:snapToGrid w:val="0"/>
      <w:sz w:val="22"/>
      <w:szCs w:val="20"/>
    </w:rPr>
  </w:style>
  <w:style w:type="paragraph" w:styleId="ab">
    <w:name w:val="Body Text Indent"/>
    <w:basedOn w:val="a"/>
    <w:rsid w:val="009821AA"/>
    <w:pPr>
      <w:spacing w:after="120"/>
      <w:ind w:left="360"/>
    </w:pPr>
  </w:style>
  <w:style w:type="paragraph" w:styleId="20">
    <w:name w:val="Body Text Indent 2"/>
    <w:basedOn w:val="a"/>
    <w:rsid w:val="009821AA"/>
    <w:pPr>
      <w:spacing w:after="120" w:line="480" w:lineRule="auto"/>
      <w:ind w:left="360"/>
    </w:pPr>
  </w:style>
  <w:style w:type="character" w:styleId="ac">
    <w:name w:val="Strong"/>
    <w:qFormat/>
    <w:rsid w:val="004A6BE8"/>
    <w:rPr>
      <w:b/>
      <w:bCs/>
    </w:rPr>
  </w:style>
  <w:style w:type="table" w:styleId="ad">
    <w:name w:val="Table Grid"/>
    <w:basedOn w:val="a1"/>
    <w:rsid w:val="003A5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87B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ld1">
    <w:name w:val="bold1"/>
    <w:rsid w:val="003842EB"/>
    <w:rPr>
      <w:b/>
      <w:bCs/>
    </w:rPr>
  </w:style>
  <w:style w:type="table" w:customStyle="1" w:styleId="TableGrid1">
    <w:name w:val="Table Grid1"/>
    <w:basedOn w:val="a1"/>
    <w:next w:val="ad"/>
    <w:rsid w:val="00BC2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本文 字元"/>
    <w:basedOn w:val="a0"/>
    <w:link w:val="a4"/>
    <w:rsid w:val="00C7388D"/>
    <w:rPr>
      <w:sz w:val="24"/>
      <w:szCs w:val="24"/>
      <w:lang w:eastAsia="zh-CN"/>
    </w:rPr>
  </w:style>
  <w:style w:type="paragraph" w:styleId="af">
    <w:name w:val="No Spacing"/>
    <w:uiPriority w:val="1"/>
    <w:qFormat/>
    <w:rsid w:val="004D149C"/>
    <w:rPr>
      <w:rFonts w:ascii="Joanna MT" w:hAnsi="Joanna MT"/>
      <w:sz w:val="28"/>
      <w:szCs w:val="24"/>
    </w:rPr>
  </w:style>
  <w:style w:type="paragraph" w:styleId="af0">
    <w:name w:val="Balloon Text"/>
    <w:basedOn w:val="a"/>
    <w:link w:val="af1"/>
    <w:rsid w:val="004D149C"/>
    <w:rPr>
      <w:rFonts w:ascii="Segoe UI" w:hAnsi="Segoe UI" w:cs="Segoe UI"/>
      <w:sz w:val="18"/>
      <w:szCs w:val="18"/>
    </w:rPr>
  </w:style>
  <w:style w:type="character" w:customStyle="1" w:styleId="af1">
    <w:name w:val="註解方塊文字 字元"/>
    <w:basedOn w:val="a0"/>
    <w:link w:val="af0"/>
    <w:rsid w:val="004D149C"/>
    <w:rPr>
      <w:rFonts w:ascii="Segoe UI" w:hAnsi="Segoe UI" w:cs="Segoe UI"/>
      <w:sz w:val="18"/>
      <w:szCs w:val="18"/>
    </w:rPr>
  </w:style>
  <w:style w:type="character" w:styleId="af2">
    <w:name w:val="annotation reference"/>
    <w:basedOn w:val="a0"/>
    <w:rsid w:val="00143EDC"/>
    <w:rPr>
      <w:sz w:val="16"/>
      <w:szCs w:val="16"/>
    </w:rPr>
  </w:style>
  <w:style w:type="character" w:customStyle="1" w:styleId="apple-converted-space">
    <w:name w:val="apple-converted-space"/>
    <w:basedOn w:val="a0"/>
    <w:rsid w:val="004739FC"/>
  </w:style>
  <w:style w:type="paragraph" w:styleId="af3">
    <w:name w:val="header"/>
    <w:basedOn w:val="a"/>
    <w:link w:val="af4"/>
    <w:rsid w:val="00A963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rsid w:val="00A963D7"/>
    <w:rPr>
      <w:rFonts w:ascii="Joanna MT" w:hAnsi="Joanna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1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459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Whitman School of Management</vt:lpstr>
    </vt:vector>
  </TitlesOfParts>
  <Company>UCR</Company>
  <LinksUpToDate>false</LinksUpToDate>
  <CharactersWithSpaces>3112</CharactersWithSpaces>
  <SharedDoc>false</SharedDoc>
  <HLinks>
    <vt:vector size="6" baseType="variant">
      <vt:variant>
        <vt:i4>2162777</vt:i4>
      </vt:variant>
      <vt:variant>
        <vt:i4>0</vt:i4>
      </vt:variant>
      <vt:variant>
        <vt:i4>0</vt:i4>
      </vt:variant>
      <vt:variant>
        <vt:i4>5</vt:i4>
      </vt:variant>
      <vt:variant>
        <vt:lpwstr>mailto:hc336@drexel.edu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Whitman School of Management</dc:title>
  <dc:subject/>
  <dc:creator>AGSM</dc:creator>
  <cp:keywords/>
  <cp:lastModifiedBy>Windows 使用者</cp:lastModifiedBy>
  <cp:revision>14</cp:revision>
  <cp:lastPrinted>2016-12-31T20:32:00Z</cp:lastPrinted>
  <dcterms:created xsi:type="dcterms:W3CDTF">2020-03-02T02:09:00Z</dcterms:created>
  <dcterms:modified xsi:type="dcterms:W3CDTF">2020-11-05T06:55:00Z</dcterms:modified>
</cp:coreProperties>
</file>